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548"/>
        <w:rPr>
          <w:rFonts w:ascii="Times New Roman" w:hAnsi="Times New Roman" w:eastAsia="黑体" w:cs="Times New Roman"/>
          <w:spacing w:val="-3"/>
        </w:rPr>
      </w:pPr>
      <w:r>
        <w:rPr>
          <w:rFonts w:ascii="Times New Roman" w:hAnsi="Times New Roman" w:eastAsia="黑体" w:cs="Times New Roman"/>
          <w:spacing w:val="-3"/>
        </w:rPr>
        <w:t>附件1</w:t>
      </w:r>
    </w:p>
    <w:p>
      <w:pPr>
        <w:pStyle w:val="4"/>
        <w:ind w:firstLine="868"/>
        <w:jc w:val="center"/>
        <w:rPr>
          <w:rFonts w:ascii="Times New Roman" w:hAnsi="Times New Roman" w:eastAsia="黑体" w:cs="Times New Roman"/>
          <w:spacing w:val="-3"/>
          <w:sz w:val="44"/>
          <w:szCs w:val="44"/>
        </w:rPr>
      </w:pPr>
      <w:bookmarkStart w:id="0" w:name="_Toc108005262"/>
      <w:r>
        <w:rPr>
          <w:rFonts w:ascii="Times New Roman" w:hAnsi="Times New Roman" w:eastAsia="黑体" w:cs="Times New Roman"/>
          <w:spacing w:val="-3"/>
          <w:sz w:val="44"/>
          <w:szCs w:val="44"/>
        </w:rPr>
        <w:t>首届世界大学生水下机器人大赛</w:t>
      </w:r>
      <w:r>
        <w:rPr>
          <w:rFonts w:ascii="Times New Roman" w:hAnsi="Times New Roman" w:eastAsia="黑体" w:cs="Times New Roman"/>
          <w:spacing w:val="-3"/>
          <w:sz w:val="44"/>
          <w:szCs w:val="44"/>
        </w:rPr>
        <w:br w:type="textWrapping"/>
      </w:r>
      <w:r>
        <w:rPr>
          <w:rFonts w:ascii="Times New Roman" w:hAnsi="Times New Roman" w:eastAsia="黑体" w:cs="Times New Roman"/>
          <w:spacing w:val="-3"/>
          <w:sz w:val="44"/>
          <w:szCs w:val="44"/>
        </w:rPr>
        <w:t>比赛规则</w:t>
      </w:r>
      <w:bookmarkEnd w:id="0"/>
    </w:p>
    <w:sdt>
      <w:sdtPr>
        <w:rPr>
          <w:rFonts w:ascii="仿宋" w:hAnsi="仿宋" w:eastAsia="仿宋" w:cs="Times New Roman"/>
          <w:color w:val="auto"/>
          <w:sz w:val="28"/>
          <w:szCs w:val="28"/>
          <w:lang w:val="zh-CN"/>
        </w:rPr>
        <w:id w:val="-1761129217"/>
        <w:docPartObj>
          <w:docPartGallery w:val="Table of Contents"/>
          <w:docPartUnique/>
        </w:docPartObj>
      </w:sdtPr>
      <w:sdtEndPr>
        <w:rPr>
          <w:rFonts w:ascii="仿宋" w:hAnsi="仿宋" w:eastAsia="仿宋" w:cs="Times New Roman"/>
          <w:b/>
          <w:bCs/>
          <w:color w:val="auto"/>
          <w:sz w:val="28"/>
          <w:szCs w:val="28"/>
          <w:lang w:val="zh-CN"/>
        </w:rPr>
      </w:sdtEndPr>
      <w:sdtContent>
        <w:p>
          <w:pPr>
            <w:pStyle w:val="42"/>
            <w:spacing w:before="0" w:line="264" w:lineRule="auto"/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"_Toc108729088" </w:instrText>
          </w:r>
          <w:r>
            <w:fldChar w:fldCharType="separate"/>
          </w:r>
          <w:r>
            <w:rPr>
              <w:rStyle w:val="14"/>
              <w:sz w:val="24"/>
              <w:szCs w:val="24"/>
              <w:lang w:bidi="zh-CN"/>
            </w:rPr>
            <w:t>一、AUV赛道比赛规则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"_Toc108729089"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1.大赛简介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"_Toc108729090"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1.1场地介绍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"_Toc108729091"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1.2比赛要求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"_Toc108729092"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2.比赛任务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"_Toc108729093"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2.1过资格赛门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"_Toc108729094"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2.2撞球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"_Toc108729095"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2.3精准作业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"_Toc108729096"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2.4听声浮圈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"_Toc108729097"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3.评分规则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</w:pP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"_Toc108729099" </w:instrText>
          </w:r>
          <w:r>
            <w:fldChar w:fldCharType="separate"/>
          </w:r>
          <w:r>
            <w:rPr>
              <w:rStyle w:val="14"/>
              <w:sz w:val="24"/>
              <w:szCs w:val="24"/>
              <w:lang w:bidi="zh-CN"/>
            </w:rPr>
            <w:t>二、ROV赛道比赛规则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"_Toc108729100"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1．大赛简介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"_Toc108729101"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1.1无人遥控水下机器人（ROV）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"_Toc108729102"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1.2场地介绍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"_Toc108729103"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1.3比赛要求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"_Toc108729104"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2.比赛任务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"_Toc108729105"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2.1饲料投放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"_Toc108729106"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2.2船体检修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"_Toc108729107"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2.3矿石采集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"_Toc108729108"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2.4精准作业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"_Toc108729109"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3.评分规则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</w:pP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hint="eastAsia" w:eastAsia="仿宋" w:asciiTheme="minorHAnsi" w:hAnsiTheme="minorHAnsi" w:cstheme="minorBidi"/>
              <w:kern w:val="2"/>
              <w:sz w:val="20"/>
              <w:szCs w:val="21"/>
              <w:lang w:val="en-US" w:eastAsia="zh-CN"/>
            </w:rPr>
          </w:pPr>
          <w:r>
            <w:fldChar w:fldCharType="begin"/>
          </w:r>
          <w:r>
            <w:instrText xml:space="preserve"> HYPERLINK \l "_Toc108729099" </w:instrText>
          </w:r>
          <w:r>
            <w:fldChar w:fldCharType="separate"/>
          </w:r>
          <w:r>
            <w:rPr>
              <w:rStyle w:val="14"/>
              <w:rFonts w:hint="eastAsia"/>
              <w:sz w:val="24"/>
              <w:szCs w:val="24"/>
              <w:lang w:val="en-US" w:bidi="zh-CN"/>
            </w:rPr>
            <w:t>三</w:t>
          </w:r>
          <w:r>
            <w:rPr>
              <w:rStyle w:val="14"/>
              <w:sz w:val="24"/>
              <w:szCs w:val="24"/>
              <w:lang w:bidi="zh-CN"/>
            </w:rPr>
            <w:t>、</w:t>
          </w:r>
          <w:r>
            <w:rPr>
              <w:rStyle w:val="14"/>
              <w:rFonts w:hint="eastAsia"/>
              <w:sz w:val="24"/>
              <w:szCs w:val="24"/>
              <w:lang w:bidi="zh-CN"/>
            </w:rPr>
            <w:t>创意概念赛道比赛规则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</w:p>
        <w:p/>
        <w:p>
          <w:pPr>
            <w:spacing w:line="264" w:lineRule="auto"/>
            <w:ind w:firstLine="0" w:firstLineChars="0"/>
          </w:pPr>
          <w:r>
            <w:rPr>
              <w:b/>
              <w:bCs/>
              <w:lang w:val="zh-CN"/>
            </w:rPr>
            <w:fldChar w:fldCharType="end"/>
          </w:r>
          <w:r>
            <w:rPr>
              <w:rFonts w:ascii="Times New Roman" w:hAnsi="Times New Roman" w:eastAsia="黑体"/>
              <w:spacing w:val="-3"/>
              <w:sz w:val="44"/>
              <w:szCs w:val="44"/>
            </w:rPr>
            <w:br w:type="page"/>
          </w:r>
        </w:p>
      </w:sdtContent>
    </w:sdt>
    <w:p>
      <w:pPr>
        <w:pStyle w:val="27"/>
        <w:ind w:firstLine="711"/>
      </w:pPr>
      <w:bookmarkStart w:id="1" w:name="_Toc108005263"/>
      <w:bookmarkStart w:id="2" w:name="_Toc108729088"/>
      <w:r>
        <w:t>一、AUV赛道比赛规则</w:t>
      </w:r>
      <w:bookmarkEnd w:id="1"/>
      <w:bookmarkEnd w:id="2"/>
    </w:p>
    <w:p>
      <w:pPr>
        <w:pStyle w:val="23"/>
        <w:spacing w:before="190" w:after="190"/>
      </w:pPr>
      <w:bookmarkStart w:id="3" w:name="_Toc108005264"/>
      <w:bookmarkStart w:id="4" w:name="_Toc108729089"/>
      <w:r>
        <w:t>1.</w:t>
      </w:r>
      <w:r>
        <w:rPr>
          <w:rFonts w:hint="eastAsia"/>
        </w:rPr>
        <w:t>大赛</w:t>
      </w:r>
      <w:r>
        <w:t>简介</w:t>
      </w:r>
      <w:bookmarkEnd w:id="3"/>
      <w:bookmarkEnd w:id="4"/>
    </w:p>
    <w:p>
      <w:pPr>
        <w:rPr>
          <w:lang w:val="ru-RU"/>
        </w:rPr>
      </w:pPr>
      <w:r>
        <w:t>自主式水下机器人（Autonomous Underwater Vehicle, AUV）是水下机器人的主要类别</w:t>
      </w:r>
      <w:r>
        <w:rPr>
          <w:rFonts w:hint="eastAsia"/>
        </w:rPr>
        <w:t>之一</w:t>
      </w:r>
      <w:r>
        <w:t>，集成了控制器、传感器、计算机软件</w:t>
      </w:r>
      <w:r>
        <w:rPr>
          <w:rFonts w:hint="eastAsia"/>
        </w:rPr>
        <w:t>、能源</w:t>
      </w:r>
      <w:r>
        <w:t>，具备自主感知和智能决策能力</w:t>
      </w:r>
      <w:r>
        <w:rPr>
          <w:rFonts w:hint="eastAsia"/>
        </w:rPr>
        <w:t>。实现自主航行的同时，可</w:t>
      </w:r>
      <w:r>
        <w:t>执行大范围航行探测任务，</w:t>
      </w:r>
      <w:r>
        <w:rPr>
          <w:rFonts w:hint="eastAsia"/>
        </w:rPr>
        <w:t>如</w:t>
      </w:r>
      <w:r>
        <w:t>海洋航测、目标搜寻、海底勘探等。</w:t>
      </w:r>
    </w:p>
    <w:p>
      <w:pPr>
        <w:rPr>
          <w:b/>
          <w:bCs/>
          <w:lang w:val="ru-RU"/>
        </w:rPr>
      </w:pPr>
      <w:r>
        <w:rPr>
          <w:lang w:val="ru-RU"/>
        </w:rPr>
        <w:t>本次竞赛通过检验AUV完成各种水下任务的情况，来评判AUV的感知、智能控制的能力。比赛</w:t>
      </w:r>
      <w:r>
        <w:rPr>
          <w:rFonts w:hint="eastAsia"/>
          <w:lang w:val="ru-RU"/>
        </w:rPr>
        <w:t>任务</w:t>
      </w:r>
      <w:r>
        <w:rPr>
          <w:lang w:val="ru-RU"/>
        </w:rPr>
        <w:t>包括过资格赛门、撞球、精准作业、听声浮圈</w:t>
      </w:r>
      <w:r>
        <w:t>等</w:t>
      </w:r>
      <w:r>
        <w:rPr>
          <w:lang w:val="ru-RU"/>
        </w:rPr>
        <w:t>，水下Aruco标记将帮助引导AUV完成前三个任务</w:t>
      </w:r>
      <w:r>
        <w:rPr>
          <w:rFonts w:hint="eastAsia"/>
          <w:lang w:val="ru-RU"/>
        </w:rPr>
        <w:t>；Aruco标记</w:t>
      </w:r>
      <w:r>
        <w:t>或</w:t>
      </w:r>
      <w:r>
        <w:rPr>
          <w:lang w:val="ru-RU"/>
        </w:rPr>
        <w:t>37.5k</w:t>
      </w:r>
      <w:r>
        <w:t>Hz</w:t>
      </w:r>
      <w:r>
        <w:rPr>
          <w:rFonts w:hint="eastAsia"/>
          <w:lang w:val="ru-RU"/>
        </w:rPr>
        <w:t>声学</w:t>
      </w:r>
      <w:r>
        <w:rPr>
          <w:lang w:val="ru-RU"/>
        </w:rPr>
        <w:t>信标将引导AUV完成最后的浮圈任务。</w:t>
      </w:r>
    </w:p>
    <w:p>
      <w:pPr>
        <w:pStyle w:val="25"/>
      </w:pPr>
      <w:bookmarkStart w:id="5" w:name="_Toc108729090"/>
      <w:bookmarkStart w:id="6" w:name="_Toc108005265"/>
      <w:r>
        <w:t>1.1场地介绍</w:t>
      </w:r>
      <w:bookmarkEnd w:id="5"/>
      <w:bookmarkEnd w:id="6"/>
    </w:p>
    <w:p>
      <w:pPr>
        <w:rPr>
          <w:lang w:val="ru-RU"/>
        </w:rPr>
      </w:pPr>
      <w:r>
        <w:rPr>
          <w:lang w:val="ru-RU"/>
        </w:rPr>
        <w:t>场地长度不小于</w:t>
      </w:r>
      <w:r>
        <w:t>20m，</w:t>
      </w:r>
      <w:r>
        <w:rPr>
          <w:lang w:val="ru-RU"/>
        </w:rPr>
        <w:t>宽度不小于</w:t>
      </w:r>
      <w:r>
        <w:t>8m，</w:t>
      </w:r>
      <w:r>
        <w:rPr>
          <w:lang w:val="ru-RU"/>
        </w:rPr>
        <w:t>水深度范围为</w:t>
      </w:r>
      <w:r>
        <w:t>1.3m-2.</w:t>
      </w:r>
      <w:r>
        <w:rPr>
          <w:rFonts w:hint="eastAsia"/>
        </w:rPr>
        <w:t>8</w:t>
      </w:r>
      <w:r>
        <w:t>m</w:t>
      </w:r>
      <w:r>
        <w:rPr>
          <w:lang w:val="ru-RU"/>
        </w:rPr>
        <w:t>。</w:t>
      </w:r>
    </w:p>
    <w:p>
      <w:pPr>
        <w:pStyle w:val="20"/>
      </w:pPr>
      <w:r>
        <w:drawing>
          <wp:inline distT="0" distB="0" distL="0" distR="0">
            <wp:extent cx="5399405" cy="398081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场地示意图</w:t>
      </w:r>
    </w:p>
    <w:p>
      <w:pPr>
        <w:pStyle w:val="25"/>
      </w:pPr>
      <w:bookmarkStart w:id="7" w:name="_Toc108729091"/>
      <w:bookmarkStart w:id="8" w:name="_Toc108005266"/>
      <w:r>
        <w:t>1.2</w:t>
      </w:r>
      <w:r>
        <w:rPr>
          <w:rFonts w:hint="eastAsia"/>
        </w:rPr>
        <w:t>比赛</w:t>
      </w:r>
      <w:r>
        <w:t>要求</w:t>
      </w:r>
      <w:bookmarkEnd w:id="7"/>
      <w:bookmarkEnd w:id="8"/>
    </w:p>
    <w:p>
      <w:r>
        <w:t>1.2.1尺寸与重量要求</w:t>
      </w:r>
    </w:p>
    <w:p>
      <w:r>
        <w:t>机器人空气中基准重量为30kg，低于30kg将进行相应加分；超出30kg将进行相应扣分。机器人超出重量不得大于</w:t>
      </w:r>
      <w:r>
        <w:rPr>
          <w:rFonts w:hint="eastAsia"/>
        </w:rPr>
        <w:t>45</w:t>
      </w:r>
      <w:r>
        <w:t>kg，否则将不允许参赛。</w:t>
      </w:r>
    </w:p>
    <w:p>
      <w:r>
        <w:t>机器人必须</w:t>
      </w:r>
      <w:r>
        <w:rPr>
          <w:rFonts w:hint="eastAsia"/>
        </w:rPr>
        <w:t>能够</w:t>
      </w:r>
      <w:r>
        <w:t>放进1000mm×1000mm×2000mm的长方体中。</w:t>
      </w:r>
    </w:p>
    <w:p>
      <w:r>
        <w:t>参赛队可以使用两台机器人，但总质量和总体积需满足上述要求。</w:t>
      </w:r>
    </w:p>
    <w:p>
      <w:r>
        <w:t>1.2.2供电需求</w:t>
      </w:r>
    </w:p>
    <w:p>
      <w:r>
        <w:t>仅限于电池供电，不可使用220v供电，电池电压不得超过72V。</w:t>
      </w:r>
    </w:p>
    <w:p>
      <w:r>
        <w:t>1.2.3</w:t>
      </w:r>
      <w:r>
        <w:rPr>
          <w:rFonts w:hint="eastAsia"/>
        </w:rPr>
        <w:t>安全</w:t>
      </w:r>
      <w:r>
        <w:t>开关</w:t>
      </w:r>
    </w:p>
    <w:p>
      <w:r>
        <w:t>每台机器人都需携带一个稳定可靠的</w:t>
      </w:r>
      <w:r>
        <w:rPr>
          <w:rFonts w:hint="eastAsia"/>
        </w:rPr>
        <w:t>安全（</w:t>
      </w:r>
      <w:r>
        <w:t>急停</w:t>
      </w:r>
      <w:r>
        <w:rPr>
          <w:rFonts w:hint="eastAsia"/>
        </w:rPr>
        <w:t>）</w:t>
      </w:r>
      <w:r>
        <w:t>开关，位于机器人外部醒目的位置，潜水员可以轻易的操作，用于紧急情况时的系统停机，停机后所有的推进器都需要停止。</w:t>
      </w:r>
    </w:p>
    <w:p>
      <w:pPr>
        <w:rPr>
          <w:rFonts w:ascii="Times New Roman" w:hAnsi="Times New Roman"/>
        </w:rPr>
      </w:pPr>
      <w:r>
        <w:t>1.2.4</w:t>
      </w:r>
      <w:r>
        <w:rPr>
          <w:rFonts w:ascii="Times New Roman" w:hAnsi="Times New Roman"/>
        </w:rPr>
        <w:t>其它</w:t>
      </w:r>
    </w:p>
    <w:p>
      <w:r>
        <w:t>（1）AUV比赛过程中，除了投掷的球，不可丢弃任何物体进入水池中。在比赛过程中不能有油液等污染物渗漏。</w:t>
      </w:r>
    </w:p>
    <w:p>
      <w:r>
        <w:t>（2）AUV在比赛过程中，机器人一旦出水，比赛终止。</w:t>
      </w:r>
    </w:p>
    <w:p>
      <w:r>
        <w:t>（3）AUV在比赛过程中，AUV必须保证完全自主运行，参赛队伍不能以任何装置触及池水，不可使用任何无线通讯装置对机器人进行遥控控制。</w:t>
      </w:r>
    </w:p>
    <w:p>
      <w:r>
        <w:t>（4）总时间为30分钟，</w:t>
      </w:r>
      <w:r>
        <w:rPr>
          <w:rFonts w:hint="eastAsia"/>
        </w:rPr>
        <w:t>10分钟为调试准备时间，20分钟为比赛时间。参赛队宣布开始比赛，裁判开始计时20分钟。</w:t>
      </w:r>
      <w:r>
        <w:t>AUV需要在竞赛开始</w:t>
      </w:r>
      <w:r>
        <w:rPr>
          <w:rFonts w:hint="eastAsia"/>
        </w:rPr>
        <w:t>后</w:t>
      </w:r>
      <w:r>
        <w:t>10分钟内通过资格赛大门，当机器人任一部位出水即认为比赛结束。</w:t>
      </w:r>
    </w:p>
    <w:p>
      <w:r>
        <w:t>（5）如果对</w:t>
      </w:r>
      <w:r>
        <w:rPr>
          <w:rFonts w:hint="eastAsia"/>
        </w:rPr>
        <w:t>本</w:t>
      </w:r>
      <w:r>
        <w:t>次比赛结果不满意，可</w:t>
      </w:r>
      <w:r>
        <w:rPr>
          <w:rFonts w:hint="eastAsia"/>
        </w:rPr>
        <w:t>随时终止，</w:t>
      </w:r>
      <w:r>
        <w:t>进行</w:t>
      </w:r>
      <w:r>
        <w:rPr>
          <w:rFonts w:hint="eastAsia"/>
        </w:rPr>
        <w:t>下一</w:t>
      </w:r>
      <w:r>
        <w:t>次比赛</w:t>
      </w:r>
      <w:r>
        <w:rPr>
          <w:rFonts w:hint="eastAsia"/>
        </w:rPr>
        <w:t>。参赛队员宣布终止本次比赛时，20分钟计时暂停，本次</w:t>
      </w:r>
      <w:r>
        <w:t>获得的分数</w:t>
      </w:r>
      <w:r>
        <w:rPr>
          <w:rFonts w:hint="eastAsia"/>
        </w:rPr>
        <w:t>作废</w:t>
      </w:r>
      <w:r>
        <w:t>。</w:t>
      </w:r>
      <w:r>
        <w:rPr>
          <w:rFonts w:hint="eastAsia"/>
        </w:rPr>
        <w:t>由工作人员打捞机器人，将机器人交与参赛队员时20分钟计时继续。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（6）可指定一名</w:t>
      </w:r>
      <w:r>
        <w:rPr>
          <w:rFonts w:hint="eastAsia" w:ascii="Times New Roman" w:hAnsi="Times New Roman"/>
        </w:rPr>
        <w:t>参赛队员</w:t>
      </w:r>
      <w:r>
        <w:rPr>
          <w:rFonts w:ascii="Times New Roman" w:hAnsi="Times New Roman"/>
        </w:rPr>
        <w:t>与裁判进行沟通，在赛前进行抽签，在赛中可与裁判沟通停止比赛。</w:t>
      </w:r>
    </w:p>
    <w:p>
      <w:r>
        <w:t>（7）仅仅在四项任务都获得分数后结束比赛才能获得时间加分。</w:t>
      </w:r>
    </w:p>
    <w:p>
      <w:pPr>
        <w:pStyle w:val="23"/>
        <w:spacing w:before="190" w:after="190"/>
      </w:pPr>
      <w:bookmarkStart w:id="9" w:name="_Toc108005267"/>
      <w:bookmarkStart w:id="10" w:name="_Toc108729092"/>
      <w:r>
        <w:t>2.比赛任务</w:t>
      </w:r>
      <w:bookmarkEnd w:id="9"/>
      <w:bookmarkEnd w:id="10"/>
    </w:p>
    <w:p>
      <w:pPr>
        <w:pStyle w:val="25"/>
      </w:pPr>
      <w:bookmarkStart w:id="11" w:name="_Toc108729093"/>
      <w:bookmarkStart w:id="12" w:name="_Toc108005268"/>
      <w:r>
        <w:t>2.1过资格赛门</w:t>
      </w:r>
      <w:bookmarkEnd w:id="11"/>
      <w:bookmarkEnd w:id="12"/>
    </w:p>
    <w:p>
      <w:r>
        <w:t>2.1.1简要说明</w:t>
      </w:r>
    </w:p>
    <w:p>
      <w:r>
        <w:t>机器人必须从资格赛门内通过，才能进行接下来的比赛，并进行计分，否则即使完成后续任务也不会计分。</w:t>
      </w:r>
    </w:p>
    <w:p>
      <w:r>
        <w:t>2.1.2道具说明</w:t>
      </w:r>
    </w:p>
    <w:p>
      <w:r>
        <w:t>资格赛</w:t>
      </w:r>
      <w:r>
        <w:rPr>
          <w:rFonts w:hint="eastAsia"/>
        </w:rPr>
        <w:t>方形</w:t>
      </w:r>
      <w:r>
        <w:t>大门是由PVC管制成，</w:t>
      </w:r>
      <w:r>
        <w:rPr>
          <w:rFonts w:hint="eastAsia"/>
        </w:rPr>
        <w:t>包括</w:t>
      </w:r>
      <w:r>
        <w:t>橙色立柱和有浮力横梁，门的颜色为橙色，尺寸为2500</w:t>
      </w:r>
      <w:r>
        <w:rPr>
          <w:rFonts w:hint="eastAsia"/>
        </w:rPr>
        <w:t>mm</w:t>
      </w:r>
      <w:r>
        <w:t xml:space="preserve"> × 1500mm，具体尺寸如下图所示：</w:t>
      </w:r>
    </w:p>
    <w:p>
      <w:pPr>
        <w:pStyle w:val="20"/>
      </w:pPr>
      <w:r>
        <w:drawing>
          <wp:inline distT="0" distB="0" distL="0" distR="0">
            <wp:extent cx="5039995" cy="3036570"/>
            <wp:effectExtent l="0" t="0" r="8255" b="0"/>
            <wp:docPr id="24" name="图片 24" descr="C:\Users\xianb\Desktop\规则绘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xianb\Desktop\规则绘图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r="136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资格赛大门</w:t>
      </w:r>
    </w:p>
    <w:p>
      <w:r>
        <w:t>门后的Aruco标记（如图所示）用于机器人的定位和定向使用，水池中的不同Aruco标记图形均不同，Aruco标记的方向指明了下一个任务的方向，Aruco标记板的大小是400</w:t>
      </w:r>
      <w:r>
        <w:rPr>
          <w:rFonts w:hint="eastAsia"/>
        </w:rPr>
        <w:t>mm</w:t>
      </w:r>
      <w:r>
        <w:t>×400</w:t>
      </w:r>
      <w:r>
        <w:rPr>
          <w:rFonts w:hint="eastAsia"/>
        </w:rPr>
        <w:t>m</w:t>
      </w:r>
      <w:r>
        <w:t>m，旋转角度范围为-180</w:t>
      </w:r>
      <w:r>
        <w:rPr>
          <w:rFonts w:hint="eastAsia"/>
        </w:rPr>
        <w:t>°~</w:t>
      </w:r>
      <w:r>
        <w:t>+180</w:t>
      </w:r>
      <w:r>
        <w:rPr>
          <w:rFonts w:hint="eastAsia"/>
        </w:rPr>
        <w:t>°</w:t>
      </w:r>
      <w:r>
        <w:t>。</w:t>
      </w:r>
      <w:r>
        <w:rPr>
          <w:rFonts w:hint="eastAsia"/>
        </w:rPr>
        <w:t>其摆放位置如下图所示。</w:t>
      </w:r>
    </w:p>
    <w:p>
      <w:pPr>
        <w:pStyle w:val="20"/>
      </w:pPr>
      <w:r>
        <w:drawing>
          <wp:inline distT="0" distB="0" distL="0" distR="0">
            <wp:extent cx="1799590" cy="17995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定向用Aruco标记</w:t>
      </w:r>
    </w:p>
    <w:p>
      <w:pPr>
        <w:pStyle w:val="20"/>
      </w:pPr>
      <w:r>
        <w:drawing>
          <wp:inline distT="0" distB="0" distL="0" distR="0">
            <wp:extent cx="2519680" cy="18599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19680" cy="20986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二维码摆放方式及位置</w:t>
      </w:r>
    </w:p>
    <w:p>
      <w:r>
        <w:t>2.1.3规则说明</w:t>
      </w:r>
    </w:p>
    <w:p>
      <w:r>
        <w:t>AUV在启动区域内完成下潜，开始执行任务，如果在启动区域外浮出水面，将被判为比赛结束。</w:t>
      </w:r>
    </w:p>
    <w:p>
      <w:r>
        <w:t>过门环节得分=（基础分+挑战分）×难度系数，从水下穿过门就可以获得基础分和后续项目的比赛资格。</w:t>
      </w:r>
    </w:p>
    <w:p>
      <w:r>
        <w:t>挑战分-花式过门：机器人可在过门的同时令航向朝同一方向旋转</w:t>
      </w:r>
      <w:r>
        <w:rPr>
          <w:rFonts w:hint="eastAsia"/>
        </w:rPr>
        <w:t>（两种旋转方式二选一）。</w:t>
      </w:r>
      <w:r>
        <w:t>其中</w:t>
      </w:r>
      <w:r>
        <w:rPr>
          <w:rFonts w:hint="eastAsia"/>
        </w:rPr>
        <w:t>水平旋转（z轴），</w:t>
      </w:r>
      <w:r>
        <w:t>每旋转四分之一周可以</w:t>
      </w:r>
      <w:r>
        <w:rPr>
          <w:rFonts w:hint="eastAsia"/>
        </w:rPr>
        <w:t>得25分</w:t>
      </w:r>
      <w:r>
        <w:t>，最高</w:t>
      </w:r>
      <w:r>
        <w:rPr>
          <w:rFonts w:hint="eastAsia"/>
        </w:rPr>
        <w:t>200分</w:t>
      </w:r>
      <w:r>
        <w:t>，但反向旋转会将</w:t>
      </w:r>
      <w:r>
        <w:rPr>
          <w:rFonts w:hint="eastAsia"/>
        </w:rPr>
        <w:t>分数</w:t>
      </w:r>
      <w:r>
        <w:t>扣回。机器人也可在过门时横滚旋转</w:t>
      </w:r>
      <w:r>
        <w:rPr>
          <w:rFonts w:hint="eastAsia"/>
        </w:rPr>
        <w:t>（x轴或y轴）</w:t>
      </w:r>
      <w:r>
        <w:t>，其中每旋转四分之一周可以</w:t>
      </w:r>
      <w:r>
        <w:rPr>
          <w:rFonts w:hint="eastAsia"/>
        </w:rPr>
        <w:t>得</w:t>
      </w:r>
      <w:r>
        <w:t>50</w:t>
      </w:r>
      <w:r>
        <w:rPr>
          <w:rFonts w:hint="eastAsia"/>
        </w:rPr>
        <w:t>分</w:t>
      </w:r>
      <w:r>
        <w:t>，最高为400</w:t>
      </w:r>
      <w:r>
        <w:rPr>
          <w:rFonts w:hint="eastAsia"/>
        </w:rPr>
        <w:t>分</w:t>
      </w:r>
      <w:r>
        <w:t>，但反向旋转会将</w:t>
      </w:r>
      <w:r>
        <w:rPr>
          <w:rFonts w:hint="eastAsia"/>
        </w:rPr>
        <w:t>分数</w:t>
      </w:r>
      <w:r>
        <w:t>扣回。</w:t>
      </w:r>
    </w:p>
    <w:p>
      <w:r>
        <w:t>具体分数请阅读详细评分规则。</w:t>
      </w:r>
    </w:p>
    <w:p>
      <w:pPr>
        <w:pStyle w:val="25"/>
      </w:pPr>
      <w:bookmarkStart w:id="13" w:name="_Toc108005269"/>
      <w:bookmarkStart w:id="14" w:name="_Toc108729094"/>
      <w:r>
        <w:t>2.2撞球</w:t>
      </w:r>
      <w:bookmarkEnd w:id="13"/>
      <w:bookmarkEnd w:id="14"/>
    </w:p>
    <w:p>
      <w:r>
        <w:t>2.2.1简要说明</w:t>
      </w:r>
    </w:p>
    <w:p>
      <w:r>
        <w:t>机器人按照上场前抽签得到的顺序撞击水中浮球来获取更高的分数</w:t>
      </w:r>
      <w:r>
        <w:rPr>
          <w:rFonts w:hint="eastAsia"/>
        </w:rPr>
        <w:t>。</w:t>
      </w:r>
    </w:p>
    <w:p>
      <w:r>
        <w:t>如果未按照顺序撞球，则获得的分数将降低。</w:t>
      </w:r>
    </w:p>
    <w:p>
      <w:r>
        <w:t>撞球后方的Aruco标记将引导AUV至</w:t>
      </w:r>
      <w:r>
        <w:rPr>
          <w:rFonts w:hint="eastAsia"/>
        </w:rPr>
        <w:t>下一</w:t>
      </w:r>
      <w:r>
        <w:t>个任务，其中Aruco标记的大小是 400mm × 400 mm，旋转角度范围为-180 度到 180 度。</w:t>
      </w:r>
    </w:p>
    <w:p>
      <w:r>
        <w:t>2.2.2道具说明</w:t>
      </w:r>
    </w:p>
    <w:p>
      <w:r>
        <w:t>池中将布置三个不同颜色的浮球，每个浮球都拴着一根线，另一端被重物固定在池底。</w:t>
      </w:r>
      <w:r>
        <w:rPr>
          <w:rFonts w:hint="eastAsia"/>
        </w:rPr>
        <w:t>浮球距离水面0.6m~1.2m不等，浮球高度不同。</w:t>
      </w:r>
      <w:r>
        <w:t>如图所示：</w:t>
      </w:r>
    </w:p>
    <w:p>
      <w:pPr>
        <w:pStyle w:val="20"/>
      </w:pPr>
      <w:r>
        <w:drawing>
          <wp:inline distT="0" distB="0" distL="0" distR="0">
            <wp:extent cx="2879725" cy="3599180"/>
            <wp:effectExtent l="0" t="0" r="0" b="127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浮球示意图</w:t>
      </w:r>
    </w:p>
    <w:p>
      <w:r>
        <w:t>3个直径为295毫米的标准充气浮子作为球。在绳索和负载的帮助下，将球安装在不同深度的水中，浮子中心之间的水平距离约为2m。</w:t>
      </w:r>
    </w:p>
    <w:p>
      <w:r>
        <w:t>2.2.3规则说明</w:t>
      </w:r>
    </w:p>
    <w:p>
      <w:r>
        <w:t>机器人触球即可获得基础分，赛前将通过抽签获得触球顺序，如果按顺序触球则可以得到加分。</w:t>
      </w:r>
    </w:p>
    <w:p>
      <w:r>
        <w:t>撞球任务后方Aruco标记指明了下一个任务的方向。</w:t>
      </w:r>
    </w:p>
    <w:p>
      <w:pPr>
        <w:pStyle w:val="20"/>
      </w:pPr>
      <w:r>
        <w:drawing>
          <wp:inline distT="0" distB="0" distL="0" distR="0">
            <wp:extent cx="2879725" cy="2879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水下精准作业定位用Aruco标记</w:t>
      </w:r>
    </w:p>
    <w:p>
      <w:r>
        <w:t>具体分数请阅读末尾处详细评分规则。</w:t>
      </w:r>
    </w:p>
    <w:p>
      <w:pPr>
        <w:pStyle w:val="25"/>
      </w:pPr>
      <w:bookmarkStart w:id="15" w:name="_Toc108005270"/>
      <w:bookmarkStart w:id="16" w:name="_Toc108729095"/>
      <w:r>
        <w:t>2.3精准作业</w:t>
      </w:r>
      <w:bookmarkEnd w:id="15"/>
      <w:bookmarkEnd w:id="16"/>
    </w:p>
    <w:p>
      <w:r>
        <w:t>2.3.1简要说明</w:t>
      </w:r>
    </w:p>
    <w:p>
      <w:r>
        <w:t>机器人从水底陈列筐中抓取</w:t>
      </w:r>
      <w:r>
        <w:rPr>
          <w:rFonts w:hint="eastAsia"/>
        </w:rPr>
        <w:t>白</w:t>
      </w:r>
      <w:r>
        <w:t>色的小球，并将小球投入收纳筐中。放入越小的收纳格中，得分越高。</w:t>
      </w:r>
    </w:p>
    <w:p>
      <w:r>
        <w:t>机器人除自身可携带一枚</w:t>
      </w:r>
      <w:r>
        <w:rPr>
          <w:rFonts w:hint="eastAsia"/>
        </w:rPr>
        <w:t>黄</w:t>
      </w:r>
      <w:r>
        <w:t>色小球外，可额外从陈列筐中获取</w:t>
      </w:r>
      <w:r>
        <w:rPr>
          <w:rFonts w:hint="eastAsia"/>
        </w:rPr>
        <w:t>3</w:t>
      </w:r>
      <w:r>
        <w:t>枚</w:t>
      </w:r>
      <w:r>
        <w:rPr>
          <w:rFonts w:hint="eastAsia"/>
        </w:rPr>
        <w:t>白</w:t>
      </w:r>
      <w:r>
        <w:t>色小球进行投掷。附近布置有Aruco标记，Aruco标记的方向指明了下一个任务的方向。</w:t>
      </w:r>
    </w:p>
    <w:p>
      <w:r>
        <w:t>收纳筐附近布置有声</w:t>
      </w:r>
      <w:r>
        <w:rPr>
          <w:rFonts w:hint="eastAsia"/>
        </w:rPr>
        <w:t>学信标</w:t>
      </w:r>
      <w:r>
        <w:t>，频率为30kHz。</w:t>
      </w:r>
    </w:p>
    <w:p>
      <w:r>
        <w:t>2.3.2道具说明——收纳筐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池底将布置1个陈列筐，水中为负浮力，陈列筐放置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枚</w:t>
      </w:r>
      <w:r>
        <w:rPr>
          <w:rFonts w:hint="eastAsia" w:ascii="Times New Roman" w:hAnsi="Times New Roman"/>
        </w:rPr>
        <w:t>白</w:t>
      </w:r>
      <w:r>
        <w:rPr>
          <w:rFonts w:ascii="Times New Roman" w:hAnsi="Times New Roman"/>
        </w:rPr>
        <w:t>色高尔夫小球，具体尺寸如下图所示：</w:t>
      </w:r>
    </w:p>
    <w:p>
      <w:pPr>
        <w:pStyle w:val="20"/>
      </w:pPr>
      <w:r>
        <w:drawing>
          <wp:inline distT="0" distB="0" distL="0" distR="0">
            <wp:extent cx="2159635" cy="21596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1596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br w:type="textWrapping"/>
      </w:r>
      <w:r>
        <w:drawing>
          <wp:inline distT="0" distB="0" distL="0" distR="0">
            <wp:extent cx="3129280" cy="17995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97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水底高尔夫球</w:t>
      </w:r>
      <w:r>
        <w:rPr>
          <w:rFonts w:hint="eastAsia"/>
        </w:rPr>
        <w:t xml:space="preserve"> 陈列框</w:t>
      </w:r>
    </w:p>
    <w:p>
      <w:r>
        <w:t>池底将另外布置一个收纳筐，上面有大小不同的三个收纳格，水下机器人需要抓取水底的高尔夫球后放入收纳筐的收纳格中，如下图所示：</w:t>
      </w:r>
    </w:p>
    <w:p>
      <w:pPr>
        <w:pStyle w:val="20"/>
      </w:pPr>
      <w:r>
        <w:drawing>
          <wp:inline distT="0" distB="0" distL="0" distR="0">
            <wp:extent cx="2159635" cy="1774825"/>
            <wp:effectExtent l="0" t="0" r="0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18497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收纳筐</w:t>
      </w:r>
    </w:p>
    <w:p>
      <w:pPr>
        <w:pStyle w:val="20"/>
      </w:pPr>
      <w:r>
        <w:drawing>
          <wp:inline distT="0" distB="0" distL="0" distR="0">
            <wp:extent cx="2189480" cy="2159635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1"/>
      </w:pPr>
      <w:r>
        <w:t>收纳筐尺寸示意图</w:t>
      </w:r>
      <w:r>
        <w:rPr>
          <w:rFonts w:hint="eastAsia"/>
        </w:rPr>
        <w:t>（单位mm）</w:t>
      </w:r>
    </w:p>
    <w:p>
      <w:pPr>
        <w:pStyle w:val="20"/>
      </w:pPr>
      <w:r>
        <w:t xml:space="preserve"> </w:t>
      </w:r>
      <w:r>
        <w:drawing>
          <wp:inline distT="0" distB="0" distL="0" distR="0">
            <wp:extent cx="4636770" cy="1439545"/>
            <wp:effectExtent l="0" t="0" r="0" b="8255"/>
            <wp:docPr id="29" name="图片 29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8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水下30</w:t>
      </w:r>
      <w:r>
        <w:rPr>
          <w:rFonts w:hint="eastAsia"/>
        </w:rPr>
        <w:t>k信号</w:t>
      </w:r>
      <w:r>
        <w:t>声信标</w:t>
      </w:r>
    </w:p>
    <w:p>
      <w:r>
        <w:t>水下精准作业区域布置有30kHz CW信号声信标，帮助对精准作业区域进行定位。</w:t>
      </w:r>
    </w:p>
    <w:p>
      <w:pPr>
        <w:pStyle w:val="20"/>
      </w:pPr>
      <w:r>
        <w:drawing>
          <wp:inline distT="0" distB="0" distL="0" distR="0">
            <wp:extent cx="2879725" cy="2879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水下精准作业定位用</w:t>
      </w:r>
      <w:r>
        <w:rPr>
          <w:rFonts w:hint="eastAsia"/>
        </w:rPr>
        <w:t>Aruco标记</w:t>
      </w:r>
    </w:p>
    <w:p>
      <w:r>
        <w:t>水下精准作业区域布置有定位Aruco标记，具体的Aruco标记需进一步确定，帮助机器人对自身进行定位。</w:t>
      </w:r>
    </w:p>
    <w:p>
      <w:r>
        <w:t>2.3.3规则说明</w:t>
      </w:r>
    </w:p>
    <w:p>
      <w:r>
        <w:t>机器人将小球投入任何一个收纳格都可以得分，将小球投入更小的收纳格可以获得更高的分数。</w:t>
      </w:r>
    </w:p>
    <w:p>
      <w:pPr>
        <w:pStyle w:val="25"/>
      </w:pPr>
      <w:bookmarkStart w:id="17" w:name="_Toc108005271"/>
      <w:bookmarkStart w:id="18" w:name="_Toc108729096"/>
      <w:r>
        <w:t>2.4听声浮圈</w:t>
      </w:r>
      <w:bookmarkEnd w:id="17"/>
      <w:bookmarkEnd w:id="18"/>
    </w:p>
    <w:p>
      <w:r>
        <w:t>2.4.1简要说明</w:t>
      </w:r>
    </w:p>
    <w:p>
      <w:r>
        <w:t>机器人需要通过37.5kHz声音引导到达终点圈下沉，从水面的圆圈中浮出，完成比赛。这个圈固定在表面上。圈下方是一个以 37.5 kHz频率运行的声学信标，信标设置在一个红色圆盘上，也可以用该圆圈作为机器人</w:t>
      </w:r>
      <w:r>
        <w:rPr>
          <w:rFonts w:hint="eastAsia"/>
        </w:rPr>
        <w:t>光标</w:t>
      </w:r>
      <w:r>
        <w:t>定位的手段。</w:t>
      </w:r>
    </w:p>
    <w:p>
      <w:r>
        <w:t>2.4.2道具说明</w:t>
      </w:r>
    </w:p>
    <w:p>
      <w:pPr>
        <w:pStyle w:val="20"/>
        <w:rPr>
          <w:lang w:val="ru-RU"/>
        </w:rPr>
      </w:pPr>
      <w:r>
        <w:drawing>
          <wp:inline distT="0" distB="0" distL="0" distR="0">
            <wp:extent cx="2159635" cy="2079625"/>
            <wp:effectExtent l="0" t="0" r="0" b="0"/>
            <wp:docPr id="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lang w:val="ru-RU"/>
        </w:rPr>
      </w:pPr>
      <w:r>
        <w:t>终点听声浮圈道具示意图</w:t>
      </w:r>
    </w:p>
    <w:p>
      <w:pPr>
        <w:pStyle w:val="20"/>
        <w:rPr>
          <w:lang w:val="ru-RU"/>
        </w:rPr>
      </w:pPr>
      <w:r>
        <w:drawing>
          <wp:inline distT="0" distB="0" distL="0" distR="0">
            <wp:extent cx="4662170" cy="1798955"/>
            <wp:effectExtent l="0" t="0" r="5080" b="0"/>
            <wp:docPr id="30" name="图片 30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r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46652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lang w:val="ru-RU"/>
        </w:rPr>
      </w:pPr>
      <w:r>
        <w:rPr>
          <w:lang w:val="ru-RU"/>
        </w:rPr>
        <w:t>37.5</w:t>
      </w:r>
      <w:r>
        <w:t>k</w:t>
      </w:r>
      <w:r>
        <w:rPr>
          <w:lang w:val="ru-RU"/>
        </w:rPr>
        <w:t xml:space="preserve"> </w:t>
      </w:r>
      <w:r>
        <w:t>CW信号声信标</w:t>
      </w:r>
    </w:p>
    <w:p>
      <w:r>
        <w:t>水面圈下方布置有</w:t>
      </w:r>
      <w:r>
        <w:rPr>
          <w:lang w:val="ru-RU"/>
        </w:rPr>
        <w:t>37.5</w:t>
      </w:r>
      <w:r>
        <w:t>k</w:t>
      </w:r>
      <w:r>
        <w:rPr>
          <w:rFonts w:hint="eastAsia"/>
        </w:rPr>
        <w:t>Hz</w:t>
      </w:r>
      <w:r>
        <w:rPr>
          <w:lang w:val="ru-RU"/>
        </w:rPr>
        <w:t xml:space="preserve"> </w:t>
      </w:r>
      <w:r>
        <w:t>CW信号声信标用于机器人的制导</w:t>
      </w:r>
      <w:r>
        <w:rPr>
          <w:lang w:val="ru-RU"/>
        </w:rPr>
        <w:t>，</w:t>
      </w:r>
      <w:r>
        <w:t>同时声</w:t>
      </w:r>
      <w:r>
        <w:rPr>
          <w:rFonts w:hint="eastAsia"/>
        </w:rPr>
        <w:t>学</w:t>
      </w:r>
      <w:r>
        <w:t>信标底部有红色圆盘</w:t>
      </w:r>
      <w:r>
        <w:rPr>
          <w:lang w:val="ru-RU"/>
        </w:rPr>
        <w:t>，</w:t>
      </w:r>
      <w:r>
        <w:t>方便机器人进行定位</w:t>
      </w:r>
      <w:r>
        <w:rPr>
          <w:lang w:val="ru-RU"/>
        </w:rPr>
        <w:t>，</w:t>
      </w:r>
      <w:r>
        <w:t>红色圆盘的直径为</w:t>
      </w:r>
      <w:r>
        <w:rPr>
          <w:lang w:val="ru-RU"/>
        </w:rPr>
        <w:t xml:space="preserve"> 400</w:t>
      </w:r>
      <w:r>
        <w:rPr>
          <w:rFonts w:hint="eastAsia"/>
          <w:lang w:val="ru-RU"/>
        </w:rPr>
        <w:t>m</w:t>
      </w:r>
      <w:r>
        <w:t>m。</w:t>
      </w:r>
    </w:p>
    <w:p>
      <w:pPr>
        <w:rPr>
          <w:lang w:val="ru-RU"/>
        </w:rPr>
      </w:pPr>
      <w:r>
        <w:t>该</w:t>
      </w:r>
      <w:r>
        <w:rPr>
          <w:lang w:val="ru-RU"/>
        </w:rPr>
        <w:t>框是由8根长度</w:t>
      </w:r>
      <w:r>
        <w:rPr>
          <w:rFonts w:hint="eastAsia"/>
          <w:lang w:val="ru-RU"/>
        </w:rPr>
        <w:t>约</w:t>
      </w:r>
      <w:r>
        <w:t>为</w:t>
      </w:r>
      <w:r>
        <w:rPr>
          <w:rFonts w:hint="eastAsia"/>
          <w:lang w:val="ru-RU"/>
        </w:rPr>
        <w:t>620</w:t>
      </w:r>
      <w:r>
        <w:rPr>
          <w:lang w:val="ru-RU"/>
        </w:rPr>
        <w:t>mm的PVC管组成的</w:t>
      </w:r>
      <w:r>
        <w:rPr>
          <w:rFonts w:hint="eastAsia"/>
          <w:lang w:val="ru-RU"/>
        </w:rPr>
        <w:t>正八</w:t>
      </w:r>
      <w:r>
        <w:rPr>
          <w:lang w:val="ru-RU"/>
        </w:rPr>
        <w:t>边形。</w:t>
      </w:r>
    </w:p>
    <w:p>
      <w:pPr>
        <w:pStyle w:val="20"/>
      </w:pPr>
      <w:r>
        <w:drawing>
          <wp:inline distT="0" distB="0" distL="0" distR="0">
            <wp:extent cx="3599815" cy="3599815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rcRect l="1494" t="2002" r="2285" b="14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上浮框示意图</w:t>
      </w:r>
    </w:p>
    <w:p>
      <w:pPr>
        <w:pStyle w:val="39"/>
      </w:pPr>
      <w:r>
        <w:rPr>
          <w:rFonts w:hint="eastAsia"/>
        </w:rPr>
        <w:t>（由于60°弯头不易购买，故更改为八边形）</w:t>
      </w:r>
    </w:p>
    <w:p>
      <w:r>
        <w:t>2.4.3规则说明</w:t>
      </w:r>
    </w:p>
    <w:p>
      <w:r>
        <w:t>机器人从圈中浮出，保持</w:t>
      </w:r>
      <w:r>
        <w:rPr>
          <w:rFonts w:hint="eastAsia"/>
        </w:rPr>
        <w:t>至少</w:t>
      </w:r>
      <w:r>
        <w:t>3秒，认为是一次成功的上浮，如果从圈中浮出时没有触碰到圈，获得全部的分数，如果部分触碰到圈，获得部分分数。</w:t>
      </w:r>
    </w:p>
    <w:p>
      <w:r>
        <w:rPr>
          <w:rFonts w:hint="eastAsia"/>
        </w:rPr>
        <w:t>AUV</w:t>
      </w:r>
      <w:r>
        <w:t>完成所有任务后，</w:t>
      </w:r>
      <w:r>
        <w:rPr>
          <w:rFonts w:hint="eastAsia"/>
        </w:rPr>
        <w:t>在终点圈外再次</w:t>
      </w:r>
      <w:r>
        <w:t>浮出水面，同时申请比赛结束。</w:t>
      </w:r>
      <w:r>
        <w:rPr>
          <w:rFonts w:hint="eastAsia"/>
        </w:rPr>
        <w:t>裁判</w:t>
      </w:r>
      <w:r>
        <w:t>停止</w:t>
      </w:r>
      <w:r>
        <w:rPr>
          <w:rFonts w:hint="eastAsia"/>
        </w:rPr>
        <w:t>计时</w:t>
      </w:r>
      <w:r>
        <w:t>。其余时间折合“剩余时间加分”</w:t>
      </w:r>
      <w:r>
        <w:rPr>
          <w:rFonts w:hint="eastAsia"/>
        </w:rPr>
        <w:t>。</w:t>
      </w:r>
    </w:p>
    <w:p>
      <w:r>
        <w:br w:type="page"/>
      </w:r>
    </w:p>
    <w:p>
      <w:pPr>
        <w:pStyle w:val="23"/>
        <w:spacing w:before="190" w:after="190"/>
      </w:pPr>
      <w:bookmarkStart w:id="19" w:name="_Toc108005272"/>
      <w:bookmarkStart w:id="20" w:name="_Toc108729097"/>
      <w:r>
        <w:rPr>
          <w:rFonts w:hint="eastAsia"/>
        </w:rPr>
        <w:t>3.评分规则</w:t>
      </w:r>
      <w:bookmarkEnd w:id="19"/>
      <w:bookmarkEnd w:id="20"/>
    </w:p>
    <w:p>
      <w:r>
        <w:t>总分由</w:t>
      </w:r>
      <w:r>
        <w:rPr>
          <w:rFonts w:hint="eastAsia"/>
        </w:rPr>
        <w:t>2</w:t>
      </w:r>
      <w:r>
        <w:t>0分钟内完成的工作分与奖励分之和组成，其中奖励分只有在20分钟内完成所有任务，才能获得“剩余时间加分”。成绩按总分进行排序</w:t>
      </w:r>
    </w:p>
    <w:tbl>
      <w:tblPr>
        <w:tblStyle w:val="11"/>
        <w:tblW w:w="8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2946"/>
        <w:gridCol w:w="1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4459" w:type="dxa"/>
            <w:tcBorders>
              <w:top w:val="single" w:color="ED7D31" w:sz="4" w:space="0"/>
              <w:left w:val="single" w:color="ED7D31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任务</w:t>
            </w:r>
          </w:p>
        </w:tc>
        <w:tc>
          <w:tcPr>
            <w:tcW w:w="2946" w:type="dxa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分数</w:t>
            </w:r>
          </w:p>
        </w:tc>
        <w:tc>
          <w:tcPr>
            <w:tcW w:w="1420" w:type="dxa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single" w:color="ED7D31" w:sz="4" w:space="0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最大分数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任务1：过门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600分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通过大门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200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花式过门：朝同一方向旋转90°×n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+</w:t>
            </w:r>
            <w:r>
              <w:rPr>
                <w:rFonts w:hint="eastAsia"/>
              </w:rPr>
              <w:t>25（50）</w:t>
            </w:r>
            <w:r>
              <w:t>×n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任务2：目标撞击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700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未按规定顺序，成功撞击目标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每个目标+100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按规定顺序撞击1个/2个/3个目标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+200/+400/+700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任务3：水底目标抓取与放置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3300分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</w:t>
            </w:r>
            <w:r>
              <w:rPr>
                <w:rFonts w:hint="eastAsia"/>
              </w:rPr>
              <w:t>黄色</w:t>
            </w:r>
            <w:r>
              <w:t>小球投入大/中/小收纳格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+200/+400/+600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</w:t>
            </w:r>
            <w:r>
              <w:rPr>
                <w:rFonts w:hint="eastAsia"/>
              </w:rPr>
              <w:t>白</w:t>
            </w:r>
            <w:r>
              <w:t>色小球投入大/中/小收纳格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+400/+600/+900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27</w:t>
            </w:r>
            <w: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任务4：听声浮圈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1000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浮圈且未碰触到圈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+1000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浮圈且碰触到圈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+500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其他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275分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重量加分与扣分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每超1kg，扣5分，最多扣分为</w:t>
            </w:r>
            <w:r>
              <w:rPr>
                <w:rFonts w:hint="eastAsia"/>
              </w:rPr>
              <w:t>75</w:t>
            </w:r>
            <w:r>
              <w:t>分；</w:t>
            </w:r>
          </w:p>
          <w:p>
            <w:pPr>
              <w:pStyle w:val="33"/>
            </w:pPr>
            <w:r>
              <w:t>每低1kg，加5分，最多加分为</w:t>
            </w:r>
            <w:r>
              <w:rPr>
                <w:rFonts w:hint="eastAsia"/>
              </w:rPr>
              <w:t>75</w:t>
            </w:r>
            <w:r>
              <w:t>分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-75</w:t>
            </w:r>
          </w:p>
          <w:p>
            <w:pPr>
              <w:pStyle w:val="33"/>
            </w:pPr>
          </w:p>
          <w:p>
            <w:pPr>
              <w:pStyle w:val="33"/>
            </w:pPr>
          </w:p>
          <w:p>
            <w:pPr>
              <w:pStyle w:val="33"/>
            </w:pPr>
            <w:r>
              <w:rPr>
                <w:rFonts w:hint="eastAsia"/>
              </w:rPr>
              <w:t>+75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剩余</w:t>
            </w:r>
            <w:r>
              <w:rPr>
                <w:rFonts w:hint="eastAsia"/>
              </w:rPr>
              <w:t>比赛</w:t>
            </w:r>
            <w:r>
              <w:t>时间加分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每分钟/+10分</w:t>
            </w:r>
            <w:r>
              <w:rPr>
                <w:rFonts w:hint="eastAsia"/>
              </w:rPr>
              <w:t>，</w:t>
            </w:r>
            <w:r>
              <w:t>最多加分为200分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总分数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5875分</w:t>
            </w:r>
          </w:p>
        </w:tc>
      </w:tr>
    </w:tbl>
    <w:p>
      <w:pPr>
        <w:adjustRightInd/>
        <w:snapToGrid/>
        <w:rPr>
          <w:rFonts w:ascii="Times New Roman" w:hAnsi="Times New Roman"/>
          <w:lang w:val="zh-CN" w:bidi="zh-CN"/>
        </w:rPr>
      </w:pPr>
      <w:r>
        <w:rPr>
          <w:rFonts w:ascii="Times New Roman" w:hAnsi="Times New Roman"/>
        </w:rPr>
        <w:br w:type="page"/>
      </w:r>
    </w:p>
    <w:p/>
    <w:p/>
    <w:p>
      <w:pPr>
        <w:pStyle w:val="35"/>
      </w:pPr>
      <w:r>
        <w:t>上述图片仅供参考，比赛以实物为准。</w:t>
      </w:r>
    </w:p>
    <w:p>
      <w:pPr>
        <w:pStyle w:val="35"/>
        <w:rPr>
          <w:color w:val="auto"/>
        </w:rPr>
      </w:pPr>
      <w:r>
        <w:rPr>
          <w:color w:val="auto"/>
        </w:rPr>
        <w:t>最终解释权归大赛组委会所有。</w:t>
      </w:r>
    </w:p>
    <w:p>
      <w:pPr>
        <w:adjustRightInd/>
        <w:snapToGrid/>
        <w:spacing w:line="240" w:lineRule="auto"/>
        <w:ind w:firstLine="0" w:firstLineChars="0"/>
        <w:jc w:val="left"/>
        <w:rPr>
          <w:rFonts w:ascii="宋体" w:hAnsi="宋体" w:eastAsia="宋体" w:cs="宋体"/>
          <w:b/>
          <w:bCs/>
          <w:lang w:val="zh-CN" w:bidi="zh-CN"/>
        </w:rPr>
      </w:pPr>
      <w:r>
        <w:rPr>
          <w:b/>
          <w:bCs/>
        </w:rPr>
        <w:br w:type="page"/>
      </w:r>
    </w:p>
    <w:p>
      <w:pPr>
        <w:pStyle w:val="27"/>
        <w:ind w:firstLine="711"/>
      </w:pPr>
      <w:bookmarkStart w:id="21" w:name="_Toc108005274"/>
      <w:bookmarkStart w:id="22" w:name="_Toc108729099"/>
      <w:r>
        <w:t>二、ROV赛道比赛规则</w:t>
      </w:r>
      <w:bookmarkEnd w:id="21"/>
      <w:bookmarkEnd w:id="22"/>
    </w:p>
    <w:p>
      <w:pPr>
        <w:pStyle w:val="23"/>
        <w:spacing w:before="190" w:after="190"/>
      </w:pPr>
      <w:bookmarkStart w:id="23" w:name="_Toc108729100"/>
      <w:bookmarkStart w:id="24" w:name="_Toc108005275"/>
      <w:r>
        <w:t>1．</w:t>
      </w:r>
      <w:r>
        <w:rPr>
          <w:rFonts w:hint="eastAsia"/>
        </w:rPr>
        <w:t>大</w:t>
      </w:r>
      <w:r>
        <w:t>赛简介</w:t>
      </w:r>
      <w:bookmarkEnd w:id="23"/>
      <w:bookmarkEnd w:id="24"/>
    </w:p>
    <w:p>
      <w:pPr>
        <w:pStyle w:val="25"/>
      </w:pPr>
      <w:bookmarkStart w:id="25" w:name="_Toc108005276"/>
      <w:bookmarkStart w:id="26" w:name="_Toc108729101"/>
      <w:r>
        <w:t>1.1无人遥控水下机器人（ROV）</w:t>
      </w:r>
      <w:bookmarkEnd w:id="25"/>
      <w:bookmarkEnd w:id="26"/>
    </w:p>
    <w:p>
      <w:bookmarkStart w:id="27" w:name="OLE_LINK2"/>
      <w:bookmarkStart w:id="28" w:name="OLE_LINK1"/>
      <w:r>
        <w:t>无人遥控水下机器人（ROV），也称为水下</w:t>
      </w:r>
      <w:r>
        <w:rPr>
          <w:rFonts w:hint="eastAsia"/>
        </w:rPr>
        <w:t>无人</w:t>
      </w:r>
      <w:r>
        <w:t>机，是一种应用于水下极限作业的机器人，可潜入水中替代人完成水下操作。水下环境恶劣且危险，人的潜水深度有限，因此水下机器人已成为开发海洋的重要工具。其由脐带缆提供动力，由母船的工作人员操纵，通过水下电视、声纳等专用设备进行观测，多以机械手，进行水下作业。</w:t>
      </w:r>
    </w:p>
    <w:p>
      <w:r>
        <w:t>本次比赛考察水下机器人的水下综合作业能力，包括通过水下机器人ROV寻找海产养殖区、投放饲料、船体</w:t>
      </w:r>
      <w:r>
        <w:rPr>
          <w:rFonts w:hint="eastAsia"/>
        </w:rPr>
        <w:t>检修</w:t>
      </w:r>
      <w:r>
        <w:t>、采集矿石、</w:t>
      </w:r>
      <w:r>
        <w:rPr>
          <w:rFonts w:hint="eastAsia"/>
        </w:rPr>
        <w:t>精准作业海底探测</w:t>
      </w:r>
      <w:r>
        <w:t>。</w:t>
      </w:r>
      <w:bookmarkEnd w:id="27"/>
      <w:bookmarkEnd w:id="28"/>
    </w:p>
    <w:p>
      <w:pPr>
        <w:pStyle w:val="25"/>
      </w:pPr>
      <w:bookmarkStart w:id="29" w:name="_Toc108729102"/>
      <w:bookmarkStart w:id="30" w:name="_Toc108005277"/>
      <w:r>
        <w:t>1.2场地介绍</w:t>
      </w:r>
      <w:bookmarkEnd w:id="29"/>
      <w:bookmarkEnd w:id="30"/>
    </w:p>
    <w:p>
      <w:r>
        <w:t>比赛场地大体为</w:t>
      </w:r>
      <w:r>
        <w:rPr>
          <w:rFonts w:hint="eastAsia"/>
        </w:rPr>
        <w:t>10m</w:t>
      </w:r>
      <w:r>
        <w:t>*5m大小，水深1-1.3m。如图所示</w:t>
      </w:r>
    </w:p>
    <w:p>
      <w:pPr>
        <w:pStyle w:val="20"/>
      </w:pPr>
      <w:r>
        <w:drawing>
          <wp:inline distT="0" distB="0" distL="0" distR="0">
            <wp:extent cx="4319905" cy="22364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4" b="347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679950" cy="136017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比赛场地示意图</w:t>
      </w:r>
    </w:p>
    <w:p>
      <w:pPr>
        <w:pStyle w:val="20"/>
      </w:pPr>
      <w:r>
        <w:drawing>
          <wp:inline distT="0" distB="0" distL="0" distR="0">
            <wp:extent cx="5039995" cy="2765425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比赛场地摆放示意图</w:t>
      </w:r>
    </w:p>
    <w:p>
      <w:pPr>
        <w:pStyle w:val="25"/>
      </w:pPr>
      <w:bookmarkStart w:id="31" w:name="_Toc108729103"/>
      <w:bookmarkStart w:id="32" w:name="_Toc108005278"/>
      <w:r>
        <w:t>1.3</w:t>
      </w:r>
      <w:r>
        <w:rPr>
          <w:rFonts w:hint="eastAsia"/>
        </w:rPr>
        <w:t>比赛</w:t>
      </w:r>
      <w:r>
        <w:t>要求</w:t>
      </w:r>
      <w:bookmarkEnd w:id="31"/>
      <w:bookmarkEnd w:id="32"/>
    </w:p>
    <w:p>
      <w:r>
        <w:t>1.机器人数量:1台(不得使用履带行走，以免破坏比赛场地)</w:t>
      </w:r>
    </w:p>
    <w:p>
      <w:r>
        <w:t>2.机器人空气中基准重量为20kg(脐带缆重量不计算在内)，低于20kg将进行相应加分；超出20kg将进行相应扣分。机器人超出重量不得大于</w:t>
      </w:r>
      <w:r>
        <w:rPr>
          <w:rFonts w:hint="eastAsia"/>
        </w:rPr>
        <w:t>25</w:t>
      </w:r>
      <w:r>
        <w:t>kg，否则将不允许参赛。</w:t>
      </w:r>
    </w:p>
    <w:p>
      <w:r>
        <w:t>3.机器人尺寸：在机械手收缩的状态下，机器人要能放置入1000mm×1000mm×2000mm的长方体中。</w:t>
      </w:r>
    </w:p>
    <w:p>
      <w:r>
        <w:t>4.控制器操作人数：最多</w:t>
      </w:r>
      <w:r>
        <w:rPr>
          <w:rFonts w:hint="eastAsia"/>
        </w:rPr>
        <w:t>2</w:t>
      </w:r>
      <w:r>
        <w:t>名</w:t>
      </w:r>
      <w:r>
        <w:rPr>
          <w:rFonts w:hint="eastAsia"/>
        </w:rPr>
        <w:t>。</w:t>
      </w:r>
    </w:p>
    <w:p>
      <w:r>
        <w:t>5.脐带操作人数：最多2名</w:t>
      </w:r>
      <w:r>
        <w:rPr>
          <w:rFonts w:hint="eastAsia"/>
        </w:rPr>
        <w:t>。</w:t>
      </w:r>
    </w:p>
    <w:p>
      <w:r>
        <w:rPr>
          <w:rFonts w:hint="eastAsia"/>
        </w:rPr>
        <w:t>6.比赛完成时间：10分钟。</w:t>
      </w:r>
    </w:p>
    <w:p>
      <w:r>
        <w:rPr>
          <w:rFonts w:hint="eastAsia"/>
        </w:rPr>
        <w:t>7</w:t>
      </w:r>
      <w:r>
        <w:t>.</w:t>
      </w:r>
      <w:r>
        <w:rPr>
          <w:rFonts w:hint="eastAsia"/>
        </w:rPr>
        <w:t>操作手在操作过程中不能看到在池中的机器人。</w:t>
      </w:r>
      <w:r>
        <w:br w:type="page"/>
      </w:r>
    </w:p>
    <w:p>
      <w:pPr>
        <w:pStyle w:val="23"/>
        <w:spacing w:before="190" w:after="190"/>
      </w:pPr>
      <w:bookmarkStart w:id="33" w:name="_Toc108729104"/>
      <w:bookmarkStart w:id="34" w:name="_Toc108005279"/>
      <w:r>
        <w:t>2.比赛任务</w:t>
      </w:r>
      <w:bookmarkEnd w:id="33"/>
      <w:bookmarkEnd w:id="34"/>
    </w:p>
    <w:p>
      <w:pPr>
        <w:pStyle w:val="25"/>
      </w:pPr>
      <w:bookmarkStart w:id="35" w:name="_Toc108005280"/>
      <w:bookmarkStart w:id="36" w:name="_Toc108729105"/>
      <w:r>
        <w:t>2.1饲料</w:t>
      </w:r>
      <w:bookmarkEnd w:id="35"/>
      <w:r>
        <w:t>投放</w:t>
      </w:r>
      <w:bookmarkEnd w:id="36"/>
    </w:p>
    <w:p>
      <w:r>
        <w:t>海洋牧场中</w:t>
      </w:r>
      <w:r>
        <w:rPr>
          <w:rFonts w:hint="eastAsia"/>
        </w:rPr>
        <w:t>有</w:t>
      </w:r>
      <w:r>
        <w:t>海产品养殖区，参赛</w:t>
      </w:r>
      <w:r>
        <w:rPr>
          <w:rFonts w:hint="eastAsia"/>
        </w:rPr>
        <w:t>队员</w:t>
      </w:r>
      <w:r>
        <w:t>操作机器人</w:t>
      </w:r>
      <w:r>
        <w:rPr>
          <w:rFonts w:hint="eastAsia"/>
        </w:rPr>
        <w:t>，将饲料投放到</w:t>
      </w:r>
      <w:r>
        <w:t>养殖区</w:t>
      </w:r>
      <w:r>
        <w:rPr>
          <w:rFonts w:hint="eastAsia"/>
        </w:rPr>
        <w:t>内</w:t>
      </w:r>
      <w:r>
        <w:t>。</w:t>
      </w:r>
    </w:p>
    <w:p>
      <w:r>
        <w:t>饲料容器为500mL塑料瓶，瓶中装有配重，在水中呈现不大于5N的负浮力</w:t>
      </w:r>
      <w:r>
        <w:rPr>
          <w:rFonts w:hint="eastAsia"/>
        </w:rPr>
        <w:t>，放置在饲料拾取区</w:t>
      </w:r>
      <w:r>
        <w:t>。养殖区</w:t>
      </w:r>
      <w:r>
        <w:rPr>
          <w:rFonts w:hint="eastAsia"/>
        </w:rPr>
        <w:t>约</w:t>
      </w:r>
      <w:r>
        <w:t>为</w:t>
      </w:r>
      <w:r>
        <w:rPr>
          <w:rFonts w:hint="eastAsia"/>
        </w:rPr>
        <w:t>直径125mm</w:t>
      </w:r>
      <w:r>
        <w:t>高1</w:t>
      </w:r>
      <w:r>
        <w:rPr>
          <w:rFonts w:hint="eastAsia"/>
        </w:rPr>
        <w:t>50</w:t>
      </w:r>
      <w:r>
        <w:t>mm的</w:t>
      </w:r>
      <w:r>
        <w:rPr>
          <w:rFonts w:hint="eastAsia"/>
        </w:rPr>
        <w:t>圆柱</w:t>
      </w:r>
      <w:r>
        <w:t>，如图所示。</w:t>
      </w:r>
    </w:p>
    <w:p>
      <w:pPr>
        <w:pStyle w:val="20"/>
      </w:pPr>
      <w:r>
        <w:rPr>
          <w:rFonts w:hint="eastAsia"/>
        </w:rPr>
        <w:drawing>
          <wp:inline distT="0" distB="0" distL="0" distR="0">
            <wp:extent cx="1439545" cy="2399665"/>
            <wp:effectExtent l="0" t="0" r="825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t="2491" r="10022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饲料容器示意图</w:t>
      </w:r>
      <w:r>
        <w:rPr>
          <w:rFonts w:hint="eastAsia"/>
        </w:rPr>
        <w:t>（未配重、某冰红茶瓶）</w:t>
      </w:r>
    </w:p>
    <w:p>
      <w:pPr>
        <w:pStyle w:val="20"/>
      </w:pPr>
      <w:r>
        <w:drawing>
          <wp:inline distT="0" distB="0" distL="0" distR="0">
            <wp:extent cx="2519680" cy="225933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养殖区示意图</w:t>
      </w:r>
    </w:p>
    <w:p>
      <w:pPr>
        <w:pStyle w:val="25"/>
      </w:pPr>
      <w:bookmarkStart w:id="37" w:name="_Toc108005281"/>
      <w:bookmarkStart w:id="38" w:name="_Toc108729106"/>
      <w:r>
        <w:t>2.2船体</w:t>
      </w:r>
      <w:r>
        <w:rPr>
          <w:rFonts w:hint="eastAsia"/>
        </w:rPr>
        <w:t>检</w:t>
      </w:r>
      <w:bookmarkEnd w:id="37"/>
      <w:r>
        <w:rPr>
          <w:rFonts w:hint="eastAsia"/>
        </w:rPr>
        <w:t>修</w:t>
      </w:r>
      <w:bookmarkEnd w:id="38"/>
    </w:p>
    <w:p>
      <w:r>
        <w:t>参赛队操作机器人对船体水下部分进行巡检，找到</w:t>
      </w:r>
      <w:r>
        <w:rPr>
          <w:rFonts w:hint="eastAsia"/>
        </w:rPr>
        <w:t>并清理</w:t>
      </w:r>
      <w:r>
        <w:t>船体损坏部分。</w:t>
      </w:r>
    </w:p>
    <w:p>
      <w:r>
        <w:t>2.2.1观测船体</w:t>
      </w:r>
      <w:r>
        <w:rPr>
          <w:rFonts w:hint="eastAsia"/>
        </w:rPr>
        <w:t>并清理损坏部分</w:t>
      </w:r>
    </w:p>
    <w:p>
      <w:r>
        <w:t>船体水下部分</w:t>
      </w:r>
      <w:r>
        <w:rPr>
          <w:rFonts w:hint="eastAsia"/>
        </w:rPr>
        <w:t>为</w:t>
      </w:r>
      <w:r>
        <w:t>1200mm×2400mm的</w:t>
      </w:r>
      <w:r>
        <w:rPr>
          <w:rFonts w:hint="eastAsia"/>
        </w:rPr>
        <w:t>由蓝色pvc管构成的矩形</w:t>
      </w:r>
      <w:r>
        <w:t>，用20mm</w:t>
      </w:r>
      <w:r>
        <w:rPr>
          <w:rFonts w:hint="eastAsia"/>
        </w:rPr>
        <w:t>直径的红色pvc管及白色四通将矩形</w:t>
      </w:r>
      <w:r>
        <w:t>均分成6个区域，分别为左上、中上、右上、左下、中下、右下，每个区域为600mm×800mm的长方形。</w:t>
      </w:r>
      <w:r>
        <w:rPr>
          <w:rFonts w:hint="eastAsia"/>
        </w:rPr>
        <w:t>如图所示</w:t>
      </w:r>
      <w:r>
        <w:t>。</w:t>
      </w:r>
    </w:p>
    <w:p>
      <w:pPr>
        <w:pStyle w:val="2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630555</wp:posOffset>
                </wp:positionV>
                <wp:extent cx="2235200" cy="1066800"/>
                <wp:effectExtent l="0" t="0" r="12700" b="1905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1066800"/>
                          <a:chOff x="0" y="0"/>
                          <a:chExt cx="2235200" cy="1066800"/>
                        </a:xfrm>
                      </wpg:grpSpPr>
                      <wps:wsp>
                        <wps:cNvPr id="4" name="椭圆 4"/>
                        <wps:cNvSpPr/>
                        <wps:spPr>
                          <a:xfrm>
                            <a:off x="88900" y="0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2057400" y="203200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椭圆 10"/>
                        <wps:cNvSpPr/>
                        <wps:spPr>
                          <a:xfrm>
                            <a:off x="1121833" y="778933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椭圆 11"/>
                        <wps:cNvSpPr/>
                        <wps:spPr>
                          <a:xfrm>
                            <a:off x="1329267" y="25400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椭圆 12"/>
                        <wps:cNvSpPr/>
                        <wps:spPr>
                          <a:xfrm>
                            <a:off x="0" y="914400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椭圆 13"/>
                        <wps:cNvSpPr/>
                        <wps:spPr>
                          <a:xfrm>
                            <a:off x="2027767" y="880533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pt;margin-top:49.65pt;height:84pt;width:176pt;z-index:251659264;mso-width-relative:page;mso-height-relative:page;" coordsize="2235200,1066800" o:gfxdata="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AxS7YjaAAAACgEAAA8AAAAA&#10;AAAAAQAgAAAAIgAAAGRycy9kb3ducmV2LnhtbFBLAQIUABQAAAAIAIdO4kCq/9GkoQMAAOcUAAAO&#10;AAAAAAAAAAEAIAAAACkBAABkcnMvZTJvRG9jLnhtbFBLBQYAAAAABgAGAFkBAAA8BwAAAAA=&#10;">
                <o:lock v:ext="edit" aspectratio="f"/>
                <v:shape id="_x0000_s1026" o:spid="_x0000_s1026" o:spt="3" type="#_x0000_t3" style="position:absolute;left:88900;top:0;height:177800;width:177800;v-text-anchor:middle;" filled="f" stroked="t" coordsize="21600,21600" o:gfxdata="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B6n7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57400;top:203200;height:177800;width:177800;v-text-anchor:middle;" filled="f" stroked="t" coordsize="21600,21600" o:gfxdata="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bXCa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21833;top:778933;height:177800;width:177800;v-text-anchor:middle;" filled="f" stroked="t" coordsize="21600,21600" o:gfxdata="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w54O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29267;top:25400;height:152400;width:165100;v-text-anchor:middle;" filled="f" stroked="t" coordsize="21600,21600" o:gfxdata="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TVlSr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914400;height:152400;width:165100;v-text-anchor:middle;" filled="f" stroked="t" coordsize="21600,21600" o:gfxdata="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5/s9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27767;top:880533;height:152400;width:165100;v-text-anchor:middle;" filled="f" stroked="t" coordsize="21600,21600" o:gfxdata="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q16m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0" distR="0">
            <wp:extent cx="4953635" cy="2495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9142" b="18100"/>
                    <a:stretch>
                      <a:fillRect/>
                    </a:stretch>
                  </pic:blipFill>
                  <pic:spPr>
                    <a:xfrm>
                      <a:off x="0" y="0"/>
                      <a:ext cx="4955455" cy="24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船体</w:t>
      </w:r>
      <w:r>
        <w:t>示意图</w:t>
      </w:r>
    </w:p>
    <w:p>
      <w:r>
        <w:t>在船体平面中会有</w:t>
      </w:r>
      <w:r>
        <w:rPr>
          <w:rFonts w:hint="eastAsia"/>
        </w:rPr>
        <w:t>6个</w:t>
      </w:r>
      <w:r>
        <w:t>破损</w:t>
      </w:r>
      <w:r>
        <w:rPr>
          <w:rFonts w:hint="eastAsia"/>
        </w:rPr>
        <w:t>物件</w:t>
      </w:r>
      <w:r>
        <w:t>，破损</w:t>
      </w:r>
      <w:r>
        <w:rPr>
          <w:rFonts w:hint="eastAsia"/>
        </w:rPr>
        <w:t>物件</w:t>
      </w:r>
      <w:r>
        <w:t>由</w:t>
      </w:r>
      <w:r>
        <w:rPr>
          <w:rFonts w:hint="eastAsia"/>
        </w:rPr>
        <w:t>红</w:t>
      </w:r>
      <w:r>
        <w:t>(</w:t>
      </w:r>
      <w:r>
        <w:rPr>
          <w:rFonts w:hint="eastAsia"/>
        </w:rPr>
        <w:t>蓝</w:t>
      </w:r>
      <w:r>
        <w:t>)</w:t>
      </w:r>
      <w:r>
        <w:rPr>
          <w:rFonts w:hint="eastAsia"/>
        </w:rPr>
        <w:t>色塑料圆环</w:t>
      </w:r>
      <w:r>
        <w:t>表示</w:t>
      </w:r>
      <w:r>
        <w:rPr>
          <w:rFonts w:hint="eastAsia"/>
        </w:rPr>
        <w:t>（3红3蓝）。每个区域中会出现一个破损器件，对应颜色如上图所示</w:t>
      </w:r>
      <w:r>
        <w:t>。机器人巡检过程中，</w:t>
      </w:r>
      <w:r>
        <w:rPr>
          <w:rFonts w:hint="eastAsia"/>
        </w:rPr>
        <w:t>将破损物件夹起，挂入相同颜色的收集装置中。比赛结束时按照留存的正确颜色的圆环计分。</w:t>
      </w:r>
    </w:p>
    <w:p>
      <w:r>
        <w:rPr>
          <w:rFonts w:hint="eastAsia"/>
        </w:rPr>
        <w:t>塑料圆环由气动管＆螺栓制成，其在水中显较小的负浮力，立于池底。收集装置由直径50mm的如图所示</w:t>
      </w:r>
    </w:p>
    <w:p>
      <w:pPr>
        <w:pStyle w:val="20"/>
      </w:pPr>
      <w:r>
        <w:drawing>
          <wp:inline distT="0" distB="0" distL="0" distR="0">
            <wp:extent cx="1799590" cy="1799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rcRect l="16855" r="22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51480" cy="187198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1563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破损物件（塑料圆环）示意图</w:t>
      </w:r>
    </w:p>
    <w:p>
      <w:pPr>
        <w:pStyle w:val="20"/>
      </w:pPr>
      <w:r>
        <w:drawing>
          <wp:inline distT="0" distB="0" distL="0" distR="0">
            <wp:extent cx="4319905" cy="4319905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rcRect l="12781" r="43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收集装置示意图</w:t>
      </w:r>
    </w:p>
    <w:p>
      <w:pPr>
        <w:pStyle w:val="25"/>
      </w:pPr>
      <w:bookmarkStart w:id="39" w:name="_Toc108005282"/>
      <w:bookmarkStart w:id="40" w:name="_Toc108729107"/>
      <w:r>
        <w:t>2.3矿石</w:t>
      </w:r>
      <w:bookmarkEnd w:id="39"/>
      <w:r>
        <w:rPr>
          <w:rFonts w:hint="eastAsia"/>
        </w:rPr>
        <w:t>采集</w:t>
      </w:r>
      <w:bookmarkEnd w:id="40"/>
    </w:p>
    <w:p>
      <w:r>
        <w:t>在礁石空隙中分布着矿石（</w:t>
      </w:r>
      <w:r>
        <w:rPr>
          <w:rFonts w:hint="eastAsia"/>
        </w:rPr>
        <w:t>高</w:t>
      </w:r>
      <w:r>
        <w:t>尔夫球），参赛队操控水下机器人采集矿石并将矿石投放到距离水底约</w:t>
      </w:r>
      <w:r>
        <w:rPr>
          <w:rFonts w:hint="eastAsia"/>
        </w:rPr>
        <w:t>300mm-</w:t>
      </w:r>
      <w:r>
        <w:t>550</w:t>
      </w:r>
      <w:r>
        <w:rPr>
          <w:rFonts w:hint="eastAsia"/>
        </w:rPr>
        <w:t>mm</w:t>
      </w:r>
      <w:r>
        <w:t>的</w:t>
      </w:r>
      <w:bookmarkStart w:id="41" w:name="_Hlk107318756"/>
      <w:r>
        <w:t>矿石收集框</w:t>
      </w:r>
      <w:bookmarkEnd w:id="41"/>
      <w:r>
        <w:t>内。</w:t>
      </w:r>
    </w:p>
    <w:p>
      <w:pPr>
        <w:pStyle w:val="20"/>
      </w:pPr>
      <w:r>
        <w:drawing>
          <wp:inline distT="0" distB="0" distL="0" distR="0">
            <wp:extent cx="5399405" cy="27501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礁石空隙</w:t>
      </w:r>
      <w:r>
        <w:rPr>
          <w:rFonts w:hint="eastAsia"/>
        </w:rPr>
        <w:t>示意图</w:t>
      </w:r>
    </w:p>
    <w:p>
      <w:pPr>
        <w:pStyle w:val="20"/>
      </w:pPr>
      <w:r>
        <w:drawing>
          <wp:inline distT="0" distB="0" distL="0" distR="0">
            <wp:extent cx="2879725" cy="34531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>
      <w:pPr>
        <w:pStyle w:val="21"/>
      </w:pPr>
      <w:r>
        <w:t>矿石收集框</w:t>
      </w:r>
    </w:p>
    <w:p>
      <w:pPr>
        <w:pStyle w:val="25"/>
      </w:pPr>
      <w:bookmarkStart w:id="42" w:name="_Toc108005283"/>
      <w:bookmarkStart w:id="43" w:name="_Toc108729108"/>
      <w:r>
        <w:t>2.4精准作业</w:t>
      </w:r>
      <w:bookmarkEnd w:id="42"/>
      <w:bookmarkEnd w:id="43"/>
    </w:p>
    <w:p>
      <w:r>
        <w:t>参赛队员操控机器人</w:t>
      </w:r>
      <w:r>
        <w:rPr>
          <w:rFonts w:hint="eastAsia"/>
        </w:rPr>
        <w:t>先</w:t>
      </w:r>
      <w:r>
        <w:t>从“电梯”上取下连接器，</w:t>
      </w:r>
      <w:r>
        <w:rPr>
          <w:rFonts w:hint="eastAsia"/>
        </w:rPr>
        <w:t>再</w:t>
      </w:r>
      <w:r>
        <w:t>将连接器插到海底探测仪器上，然后转动旋钮开关开启海底探测仪器。本任务中，海底探测仪器接口设置大、中、小三种型号，插入不同型号接口获得分数不同。</w:t>
      </w:r>
    </w:p>
    <w:p>
      <w:r>
        <w:t>具体任务包括：</w:t>
      </w:r>
    </w:p>
    <w:p>
      <w:r>
        <w:t>（1）从“电梯”上获取连接器（</w:t>
      </w:r>
      <w:r>
        <w:rPr>
          <w:rFonts w:hint="eastAsia"/>
        </w:rPr>
        <w:t>约长24cm宽12cm的</w:t>
      </w:r>
      <w:r>
        <w:t>T形插头）</w:t>
      </w:r>
    </w:p>
    <w:p>
      <w:pPr>
        <w:pStyle w:val="20"/>
      </w:pPr>
      <w:r>
        <w:drawing>
          <wp:inline distT="0" distB="0" distL="0" distR="0">
            <wp:extent cx="2879725" cy="22320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电梯示意图</w:t>
      </w:r>
      <w:r>
        <w:tab/>
      </w:r>
    </w:p>
    <w:p>
      <w:pPr>
        <w:pStyle w:val="20"/>
      </w:pPr>
      <w:r>
        <w:drawing>
          <wp:inline distT="0" distB="0" distL="0" distR="0">
            <wp:extent cx="1376680" cy="21596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67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pict>
          <v:shape id="_x0000_i1025" o:spt="75" type="#_x0000_t75" style="height:170.25pt;width:113.25pt;" filled="f" o:preferrelative="t" stroked="f" coordsize="21600,21600">
            <v:path/>
            <v:fill on="f" focussize="0,0"/>
            <v:stroke on="f" joinstyle="miter"/>
            <v:imagedata r:id="rId42" r:href="rId43" cropleft="10371f" croptop="12587f" cropbottom="15292f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pStyle w:val="21"/>
      </w:pPr>
      <w:r>
        <w:rPr>
          <w:rFonts w:hint="eastAsia"/>
        </w:rPr>
        <w:t>连接器——T形</w:t>
      </w:r>
      <w:r>
        <w:t>插头示意图</w:t>
      </w:r>
    </w:p>
    <w:p>
      <w:r>
        <w:t>（2）将连接器插入到海底探测仪器</w:t>
      </w:r>
      <w:r>
        <w:rPr>
          <w:rFonts w:hint="eastAsia"/>
        </w:rPr>
        <w:t>某一</w:t>
      </w:r>
      <w:r>
        <w:t>接口上</w:t>
      </w:r>
      <w:r>
        <w:rPr>
          <w:rFonts w:hint="eastAsia"/>
        </w:rPr>
        <w:t>（小-中-大：30</w:t>
      </w:r>
      <w:r>
        <w:t>mm</w:t>
      </w:r>
      <w:r>
        <w:rPr>
          <w:rFonts w:hint="eastAsia"/>
        </w:rPr>
        <w:t>-60mm-90mm）</w:t>
      </w:r>
    </w:p>
    <w:p>
      <w:pPr>
        <w:pStyle w:val="20"/>
      </w:pPr>
      <w:r>
        <w:drawing>
          <wp:inline distT="0" distB="0" distL="0" distR="0">
            <wp:extent cx="2887980" cy="16554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8142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6625" cy="165544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11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海底探测仪器接口</w:t>
      </w:r>
      <w:r>
        <w:rPr>
          <w:rFonts w:hint="eastAsia"/>
        </w:rPr>
        <w:t>示意图</w:t>
      </w:r>
    </w:p>
    <w:p>
      <w:pPr>
        <w:rPr>
          <w:b/>
          <w:bCs/>
        </w:rPr>
      </w:pPr>
      <w:r>
        <w:rPr>
          <w:rFonts w:hint="eastAsia"/>
        </w:rPr>
        <w:t>（3）</w:t>
      </w:r>
      <w:r>
        <w:t>将旋钮开关转动180度，开启海底探测仪器</w:t>
      </w:r>
    </w:p>
    <w:p>
      <w:pPr>
        <w:pStyle w:val="20"/>
      </w:pPr>
      <w:r>
        <w:drawing>
          <wp:inline distT="0" distB="0" distL="0" distR="0">
            <wp:extent cx="2517140" cy="21596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77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159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rcRect l="9276" r="927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旋钮开关示意图</w:t>
      </w:r>
    </w:p>
    <w:p>
      <w:r>
        <w:rPr>
          <w:rFonts w:hint="eastAsia"/>
        </w:rPr>
        <w:t>机器人完成所有任务后，浮出水面，同时申请比赛结束。此时计时停止。其余时间折合“剩余时间加分”。</w:t>
      </w:r>
      <w:r>
        <w:br w:type="page"/>
      </w:r>
    </w:p>
    <w:p>
      <w:pPr>
        <w:pStyle w:val="23"/>
        <w:spacing w:before="190" w:after="190"/>
      </w:pPr>
      <w:bookmarkStart w:id="44" w:name="_Toc108005284"/>
      <w:bookmarkStart w:id="45" w:name="_Toc108729109"/>
      <w:r>
        <w:t>3.评分规则</w:t>
      </w:r>
      <w:bookmarkEnd w:id="44"/>
      <w:bookmarkEnd w:id="45"/>
    </w:p>
    <w:p>
      <w:r>
        <w:t>总分由</w:t>
      </w:r>
      <w:r>
        <w:rPr>
          <w:rFonts w:hint="eastAsia"/>
        </w:rPr>
        <w:t>10</w:t>
      </w:r>
      <w:r>
        <w:t>分钟内完成的工作分与奖励分之和组成，其中奖励分只有在</w:t>
      </w:r>
      <w:r>
        <w:rPr>
          <w:rFonts w:hint="eastAsia"/>
        </w:rPr>
        <w:t>10</w:t>
      </w:r>
      <w:r>
        <w:t>分钟内完成所有任务，才能</w:t>
      </w:r>
      <w:r>
        <w:rPr>
          <w:rFonts w:hint="eastAsia"/>
        </w:rPr>
        <w:t>获得“剩余时间加分”</w:t>
      </w:r>
      <w:r>
        <w:t>。成绩按总分进行排序。</w:t>
      </w:r>
    </w:p>
    <w:tbl>
      <w:tblPr>
        <w:tblStyle w:val="11"/>
        <w:tblW w:w="85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4"/>
        <w:gridCol w:w="2978"/>
        <w:gridCol w:w="1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任务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最大分数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任务1：饲料投放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将饲料投进区域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任务2：船体检</w:t>
            </w:r>
            <w:r>
              <w:rPr>
                <w:rFonts w:hint="eastAsia"/>
              </w:rPr>
              <w:t>修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6</w:t>
            </w:r>
            <w: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1个/2个/3个蓝色物件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1个/2个/3个红色物件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任务3：矿石</w:t>
            </w:r>
            <w:r>
              <w:rPr>
                <w:rFonts w:hint="eastAsia"/>
              </w:rPr>
              <w:t>采集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45分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将</w:t>
            </w:r>
            <w:r>
              <w:t>礁石</w:t>
            </w:r>
            <w:r>
              <w:rPr>
                <w:rFonts w:hint="eastAsia"/>
              </w:rPr>
              <w:t>空隙中的</w:t>
            </w:r>
            <w:r>
              <w:t>矿石</w:t>
            </w:r>
            <w:r>
              <w:br w:type="textWrapping"/>
            </w:r>
            <w:r>
              <w:rPr>
                <w:rFonts w:hint="eastAsia"/>
              </w:rPr>
              <w:t>并</w:t>
            </w:r>
            <w:r>
              <w:t>放入收集框内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</w:t>
            </w:r>
            <w:r>
              <w:rPr>
                <w:rFonts w:hint="eastAsia"/>
              </w:rPr>
              <w:t>5</w:t>
            </w:r>
            <w:r>
              <w:t>分/个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任务4：精准作业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30分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从“电梯”上取下插头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将插头插入接口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5分/10分/15分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开关转动超过180度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其他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35</w:t>
            </w:r>
            <w: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重量加分与扣分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每超1kg，扣</w:t>
            </w:r>
            <w:r>
              <w:rPr>
                <w:rFonts w:hint="eastAsia"/>
              </w:rPr>
              <w:t>2</w:t>
            </w:r>
            <w:r>
              <w:t>分，最多扣分为</w:t>
            </w:r>
            <w:r>
              <w:rPr>
                <w:rFonts w:hint="eastAsia"/>
              </w:rPr>
              <w:t>10</w:t>
            </w:r>
            <w:r>
              <w:t>分；</w:t>
            </w:r>
          </w:p>
          <w:p>
            <w:pPr>
              <w:pStyle w:val="33"/>
            </w:pPr>
            <w:r>
              <w:t>每低1kg，加</w:t>
            </w:r>
            <w:r>
              <w:rPr>
                <w:rFonts w:hint="eastAsia"/>
              </w:rPr>
              <w:t>2</w:t>
            </w:r>
            <w:r>
              <w:t>分，最多加分为</w:t>
            </w:r>
            <w:r>
              <w:rPr>
                <w:rFonts w:hint="eastAsia"/>
              </w:rPr>
              <w:t>10</w:t>
            </w:r>
            <w:r>
              <w:t>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-10</w:t>
            </w:r>
          </w:p>
          <w:p>
            <w:pPr>
              <w:pStyle w:val="33"/>
            </w:pPr>
          </w:p>
          <w:p>
            <w:pPr>
              <w:pStyle w:val="33"/>
            </w:pPr>
          </w:p>
          <w:p>
            <w:pPr>
              <w:pStyle w:val="33"/>
            </w:pPr>
            <w:r>
              <w:rPr>
                <w:rFonts w:hint="eastAsia"/>
              </w:rPr>
              <w:t>+10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  <w:rPr>
                <w:b/>
                <w:bCs/>
              </w:rPr>
            </w:pPr>
            <w:r>
              <w:t>剩余时间加分</w:t>
            </w:r>
            <w:r>
              <w:rPr>
                <w:rFonts w:hint="eastAsia"/>
              </w:rPr>
              <w:t>（四舍五入）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1分/</w:t>
            </w:r>
            <w:r>
              <w:rPr>
                <w:rFonts w:hint="eastAsia"/>
              </w:rPr>
              <w:t>10</w:t>
            </w:r>
            <w:r>
              <w:t>秒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</w:t>
            </w: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33"/>
            </w:pPr>
            <w:r>
              <w:t>总分数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190</w:t>
            </w:r>
            <w:r>
              <w:t>分</w:t>
            </w:r>
          </w:p>
        </w:tc>
      </w:tr>
    </w:tbl>
    <w:p>
      <w:r>
        <w:br w:type="page"/>
      </w:r>
    </w:p>
    <w:p>
      <w:pPr>
        <w:pStyle w:val="35"/>
      </w:pPr>
    </w:p>
    <w:p>
      <w:pPr>
        <w:pStyle w:val="35"/>
      </w:pPr>
    </w:p>
    <w:p>
      <w:pPr>
        <w:pStyle w:val="35"/>
        <w:rPr>
          <w:color w:val="auto"/>
        </w:rPr>
      </w:pPr>
      <w:r>
        <w:t>上述图片仅供参考，比赛以实物为准。</w:t>
      </w:r>
      <w:r>
        <w:br w:type="textWrapping"/>
      </w:r>
      <w:r>
        <w:rPr>
          <w:color w:val="auto"/>
        </w:rPr>
        <w:t>最终解释权归大赛组委会解释所有。</w:t>
      </w: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spacing w:after="0" w:line="360" w:lineRule="auto"/>
        <w:ind w:firstLine="640" w:firstLineChars="200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bookmarkStart w:id="46" w:name="_Hlk104465781"/>
      <w:bookmarkStart w:id="47" w:name="_GoBack"/>
      <w:bookmarkEnd w:id="47"/>
    </w:p>
    <w:p>
      <w:pPr>
        <w:spacing w:after="0" w:line="360" w:lineRule="auto"/>
        <w:ind w:firstLine="640" w:firstLineChars="200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Times New Roman" w:hAnsi="Times New Roman" w:eastAsia="黑体" w:cs="Times New Roman"/>
          <w:bCs/>
          <w:sz w:val="32"/>
          <w:szCs w:val="32"/>
        </w:rPr>
        <w:t>三、</w:t>
      </w:r>
      <w:r>
        <w:rPr>
          <w:rFonts w:hint="eastAsia" w:ascii="Times New Roman" w:hAnsi="Times New Roman" w:eastAsia="黑体" w:cs="Times New Roman"/>
          <w:bCs/>
          <w:sz w:val="32"/>
          <w:szCs w:val="32"/>
        </w:rPr>
        <w:t>创意概念</w:t>
      </w:r>
      <w:r>
        <w:rPr>
          <w:rFonts w:ascii="Times New Roman" w:hAnsi="Times New Roman" w:eastAsia="黑体" w:cs="Times New Roman"/>
          <w:bCs/>
          <w:sz w:val="32"/>
          <w:szCs w:val="32"/>
        </w:rPr>
        <w:t>赛道比赛规则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1.参赛要求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创意概念赛道为水下机器人创意设计介绍和演示。设计需依据AUV/ROV赛道的操作任务和技术要求，进行总装、零部件、关键技术等内容的创意概念设计。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作品的设计方案应有功能原理创新或布局创新。通过作品设计说明书介绍主要创新点、计算过程、设计图纸、实施途径、应用分析等，设计说明书不得超过25页（此外，说明书的技术介绍部分，不得含有参赛单位名称及标识，便于后期组织网上盲评）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参赛作品鼓励提交功能演示视频，视频内容可为实物功能演示或三维模型演示。视频制作可准备两个版本，演示版时长不得超过2分钟，文件大小不得超过200M；完整版时长不得超过5分钟，文件大小不得超过1G。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作品不得包含涉及国家秘密的内容，由参赛单位负责审核。</w:t>
      </w:r>
    </w:p>
    <w:p>
      <w:pPr>
        <w:numPr>
          <w:ilvl w:val="0"/>
          <w:numId w:val="2"/>
        </w:num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比赛规则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2.1比赛流程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队伍通过网络直播方式抽签决定作品答辩的顺序。专家根据团队答辩情况和作品设计说明书，进行评分确定比赛成绩，答辩总时不超过10分钟，其中，作品阐述时间不超过5分钟。答辩者须是本团队成员，不得由团队以外其他人替代。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2.2 评分细则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评分细则如下所示：</w:t>
      </w:r>
    </w:p>
    <w:tbl>
      <w:tblPr>
        <w:tblStyle w:val="12"/>
        <w:tblW w:w="8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887"/>
        <w:gridCol w:w="5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指标项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  <w:t>权重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  <w:t xml:space="preserve">指标内涵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创新性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与独特性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结构新颖，创新性强，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原理独特，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表现在用新方法解决同类任务，或者解决未被攻克的任务。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可行性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</w:t>
            </w: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实用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3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设计合理，实现方案明晰，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可能形成的任务能力和特点、应用前景、工程可行性等。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文本内容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20%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逻辑性强，层次清晰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，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论点论据清晰鲜明，理论分析与实验数据翔实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答辩表现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10%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文字通畅清晰，语言表达简洁精炼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，逻辑严密，临场表现较好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</w:tbl>
    <w:p>
      <w:pPr>
        <w:spacing w:after="0" w:line="360" w:lineRule="auto"/>
        <w:ind w:firstLine="419" w:firstLineChars="149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/>
          <w:sz w:val="28"/>
          <w:szCs w:val="28"/>
        </w:rPr>
        <w:t>最终解释权归大赛组委会所有。</w:t>
      </w:r>
      <w:bookmarkEnd w:id="46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37" w:footer="737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09796591"/>
      <w:docPartObj>
        <w:docPartGallery w:val="autotext"/>
      </w:docPartObj>
    </w:sdtPr>
    <w:sdtContent>
      <w:p>
        <w:pPr>
          <w:pStyle w:val="6"/>
          <w:ind w:firstLine="360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-</w:t>
        </w:r>
      </w:p>
    </w:sdtContent>
  </w:sdt>
  <w:p>
    <w:pPr>
      <w:pStyle w:val="6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560" w:firstLine="0" w:firstLineChars="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9BD0B"/>
    <w:multiLevelType w:val="singleLevel"/>
    <w:tmpl w:val="0879BD0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70D603F"/>
    <w:multiLevelType w:val="multilevel"/>
    <w:tmpl w:val="570D603F"/>
    <w:lvl w:ilvl="0" w:tentative="0">
      <w:start w:val="1"/>
      <w:numFmt w:val="decimal"/>
      <w:pStyle w:val="21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hYTIwNjM0YjM5ZGY0NGRlOTA0MDExM2FlZmFmOGMifQ=="/>
  </w:docVars>
  <w:rsids>
    <w:rsidRoot w:val="2F920A79"/>
    <w:rsid w:val="00005F00"/>
    <w:rsid w:val="000101C6"/>
    <w:rsid w:val="00011AC5"/>
    <w:rsid w:val="0001291E"/>
    <w:rsid w:val="00014EE3"/>
    <w:rsid w:val="0002338D"/>
    <w:rsid w:val="000247E6"/>
    <w:rsid w:val="00033498"/>
    <w:rsid w:val="000401AE"/>
    <w:rsid w:val="00040389"/>
    <w:rsid w:val="00041BBA"/>
    <w:rsid w:val="00044E29"/>
    <w:rsid w:val="00046E33"/>
    <w:rsid w:val="000514C1"/>
    <w:rsid w:val="000561B3"/>
    <w:rsid w:val="00066F2D"/>
    <w:rsid w:val="00067334"/>
    <w:rsid w:val="0006747F"/>
    <w:rsid w:val="0007050C"/>
    <w:rsid w:val="00075AC1"/>
    <w:rsid w:val="00092716"/>
    <w:rsid w:val="00093241"/>
    <w:rsid w:val="000A101E"/>
    <w:rsid w:val="000A6565"/>
    <w:rsid w:val="000B3ABA"/>
    <w:rsid w:val="000D40A4"/>
    <w:rsid w:val="000D7195"/>
    <w:rsid w:val="000E219A"/>
    <w:rsid w:val="000F0525"/>
    <w:rsid w:val="000F6153"/>
    <w:rsid w:val="000F7516"/>
    <w:rsid w:val="00101FB7"/>
    <w:rsid w:val="0010511B"/>
    <w:rsid w:val="001111C5"/>
    <w:rsid w:val="00122DCF"/>
    <w:rsid w:val="00136B5E"/>
    <w:rsid w:val="00142ECF"/>
    <w:rsid w:val="001467DF"/>
    <w:rsid w:val="001468D1"/>
    <w:rsid w:val="00152712"/>
    <w:rsid w:val="00174D79"/>
    <w:rsid w:val="00192DA7"/>
    <w:rsid w:val="0019341F"/>
    <w:rsid w:val="001954D8"/>
    <w:rsid w:val="001A0CFD"/>
    <w:rsid w:val="001C1119"/>
    <w:rsid w:val="001C40E8"/>
    <w:rsid w:val="001C417D"/>
    <w:rsid w:val="001D2CB2"/>
    <w:rsid w:val="001D34EF"/>
    <w:rsid w:val="001D3B28"/>
    <w:rsid w:val="001D54E2"/>
    <w:rsid w:val="001D7CDD"/>
    <w:rsid w:val="001D7D0C"/>
    <w:rsid w:val="001E245C"/>
    <w:rsid w:val="001E522F"/>
    <w:rsid w:val="001F06B9"/>
    <w:rsid w:val="001F10E7"/>
    <w:rsid w:val="001F2F00"/>
    <w:rsid w:val="001F73FF"/>
    <w:rsid w:val="00202AF1"/>
    <w:rsid w:val="0020443C"/>
    <w:rsid w:val="0021110F"/>
    <w:rsid w:val="00213E45"/>
    <w:rsid w:val="00216B58"/>
    <w:rsid w:val="00232F7E"/>
    <w:rsid w:val="00235CE1"/>
    <w:rsid w:val="00241537"/>
    <w:rsid w:val="00253315"/>
    <w:rsid w:val="00261090"/>
    <w:rsid w:val="00261718"/>
    <w:rsid w:val="00264B93"/>
    <w:rsid w:val="0026667F"/>
    <w:rsid w:val="0026763C"/>
    <w:rsid w:val="002726D5"/>
    <w:rsid w:val="00273281"/>
    <w:rsid w:val="00273EE6"/>
    <w:rsid w:val="00275E97"/>
    <w:rsid w:val="002925B4"/>
    <w:rsid w:val="00293C67"/>
    <w:rsid w:val="002A56D6"/>
    <w:rsid w:val="002B4A4D"/>
    <w:rsid w:val="002B6F65"/>
    <w:rsid w:val="002C4156"/>
    <w:rsid w:val="002C5D87"/>
    <w:rsid w:val="002E0BCC"/>
    <w:rsid w:val="002F18E2"/>
    <w:rsid w:val="002F2B79"/>
    <w:rsid w:val="002F5A8D"/>
    <w:rsid w:val="00303225"/>
    <w:rsid w:val="00303297"/>
    <w:rsid w:val="003130A5"/>
    <w:rsid w:val="00315C89"/>
    <w:rsid w:val="00344DDC"/>
    <w:rsid w:val="00361B42"/>
    <w:rsid w:val="00366517"/>
    <w:rsid w:val="00384F8D"/>
    <w:rsid w:val="00397144"/>
    <w:rsid w:val="0039777A"/>
    <w:rsid w:val="003A18F6"/>
    <w:rsid w:val="003A22D7"/>
    <w:rsid w:val="003D4F19"/>
    <w:rsid w:val="003E485C"/>
    <w:rsid w:val="003E5934"/>
    <w:rsid w:val="003E5FA0"/>
    <w:rsid w:val="003F2760"/>
    <w:rsid w:val="00405E55"/>
    <w:rsid w:val="00407697"/>
    <w:rsid w:val="0041142A"/>
    <w:rsid w:val="004148D7"/>
    <w:rsid w:val="004160BE"/>
    <w:rsid w:val="00423792"/>
    <w:rsid w:val="00430F18"/>
    <w:rsid w:val="00437538"/>
    <w:rsid w:val="00442520"/>
    <w:rsid w:val="00444B08"/>
    <w:rsid w:val="00444D3A"/>
    <w:rsid w:val="004637CB"/>
    <w:rsid w:val="00470719"/>
    <w:rsid w:val="004711AE"/>
    <w:rsid w:val="00472F9D"/>
    <w:rsid w:val="0047630B"/>
    <w:rsid w:val="00480E6D"/>
    <w:rsid w:val="00483CD8"/>
    <w:rsid w:val="0048595F"/>
    <w:rsid w:val="004939AD"/>
    <w:rsid w:val="004976CB"/>
    <w:rsid w:val="004A0DEA"/>
    <w:rsid w:val="004A5E62"/>
    <w:rsid w:val="004A6EC9"/>
    <w:rsid w:val="004B020A"/>
    <w:rsid w:val="004B1ED0"/>
    <w:rsid w:val="004B1FCA"/>
    <w:rsid w:val="004B62B7"/>
    <w:rsid w:val="004D3275"/>
    <w:rsid w:val="004D6548"/>
    <w:rsid w:val="004D6B34"/>
    <w:rsid w:val="004E1C8A"/>
    <w:rsid w:val="004E50DF"/>
    <w:rsid w:val="004E663F"/>
    <w:rsid w:val="004F4EEF"/>
    <w:rsid w:val="004F6B4D"/>
    <w:rsid w:val="005074B0"/>
    <w:rsid w:val="00507570"/>
    <w:rsid w:val="005124F6"/>
    <w:rsid w:val="00524E90"/>
    <w:rsid w:val="005274C5"/>
    <w:rsid w:val="00527B48"/>
    <w:rsid w:val="0053034B"/>
    <w:rsid w:val="00536AD3"/>
    <w:rsid w:val="00536F1F"/>
    <w:rsid w:val="005438FA"/>
    <w:rsid w:val="0054539E"/>
    <w:rsid w:val="00545970"/>
    <w:rsid w:val="00547AFB"/>
    <w:rsid w:val="005530EF"/>
    <w:rsid w:val="00554F01"/>
    <w:rsid w:val="00563F4E"/>
    <w:rsid w:val="00567234"/>
    <w:rsid w:val="0056736F"/>
    <w:rsid w:val="005712AB"/>
    <w:rsid w:val="00572BF3"/>
    <w:rsid w:val="00585BFC"/>
    <w:rsid w:val="005941C1"/>
    <w:rsid w:val="00596738"/>
    <w:rsid w:val="005976C4"/>
    <w:rsid w:val="005A3083"/>
    <w:rsid w:val="005B4CD7"/>
    <w:rsid w:val="005B7585"/>
    <w:rsid w:val="005C45F0"/>
    <w:rsid w:val="005C7400"/>
    <w:rsid w:val="005C7E64"/>
    <w:rsid w:val="005E0865"/>
    <w:rsid w:val="005E74D7"/>
    <w:rsid w:val="005F5D7B"/>
    <w:rsid w:val="006051DD"/>
    <w:rsid w:val="00606CE7"/>
    <w:rsid w:val="00610863"/>
    <w:rsid w:val="006230FC"/>
    <w:rsid w:val="0062577F"/>
    <w:rsid w:val="00627398"/>
    <w:rsid w:val="0063191E"/>
    <w:rsid w:val="00631C8F"/>
    <w:rsid w:val="00632671"/>
    <w:rsid w:val="006343D6"/>
    <w:rsid w:val="00664581"/>
    <w:rsid w:val="006648DE"/>
    <w:rsid w:val="00674122"/>
    <w:rsid w:val="00677567"/>
    <w:rsid w:val="006817A9"/>
    <w:rsid w:val="00681918"/>
    <w:rsid w:val="006930AF"/>
    <w:rsid w:val="006A018E"/>
    <w:rsid w:val="006A5F1A"/>
    <w:rsid w:val="006B3C21"/>
    <w:rsid w:val="006B54AA"/>
    <w:rsid w:val="006B6DB2"/>
    <w:rsid w:val="006C0213"/>
    <w:rsid w:val="006C0CCC"/>
    <w:rsid w:val="006C6593"/>
    <w:rsid w:val="006D0CFC"/>
    <w:rsid w:val="006D61D7"/>
    <w:rsid w:val="006E1818"/>
    <w:rsid w:val="007114D0"/>
    <w:rsid w:val="00712DCA"/>
    <w:rsid w:val="007143C5"/>
    <w:rsid w:val="0072546A"/>
    <w:rsid w:val="007346A8"/>
    <w:rsid w:val="00743155"/>
    <w:rsid w:val="00743C1E"/>
    <w:rsid w:val="00747503"/>
    <w:rsid w:val="00747B49"/>
    <w:rsid w:val="007546D3"/>
    <w:rsid w:val="007577DA"/>
    <w:rsid w:val="0076250C"/>
    <w:rsid w:val="00762FE2"/>
    <w:rsid w:val="007669A1"/>
    <w:rsid w:val="00767625"/>
    <w:rsid w:val="00776DD9"/>
    <w:rsid w:val="007910E8"/>
    <w:rsid w:val="00793024"/>
    <w:rsid w:val="007A177D"/>
    <w:rsid w:val="007A1EB1"/>
    <w:rsid w:val="007A20CF"/>
    <w:rsid w:val="007B315E"/>
    <w:rsid w:val="007C68AA"/>
    <w:rsid w:val="007D1E35"/>
    <w:rsid w:val="007E01A8"/>
    <w:rsid w:val="007E36C6"/>
    <w:rsid w:val="007E766F"/>
    <w:rsid w:val="007F494D"/>
    <w:rsid w:val="00801B07"/>
    <w:rsid w:val="008057FF"/>
    <w:rsid w:val="00810172"/>
    <w:rsid w:val="00813378"/>
    <w:rsid w:val="00816FC7"/>
    <w:rsid w:val="00823E59"/>
    <w:rsid w:val="00831EFC"/>
    <w:rsid w:val="00835606"/>
    <w:rsid w:val="00844C28"/>
    <w:rsid w:val="00857061"/>
    <w:rsid w:val="00866A8F"/>
    <w:rsid w:val="00867978"/>
    <w:rsid w:val="0088458F"/>
    <w:rsid w:val="008B09C2"/>
    <w:rsid w:val="008B4A69"/>
    <w:rsid w:val="008B510D"/>
    <w:rsid w:val="008C440F"/>
    <w:rsid w:val="008C5F48"/>
    <w:rsid w:val="008D541E"/>
    <w:rsid w:val="008E3FC9"/>
    <w:rsid w:val="008F28D4"/>
    <w:rsid w:val="00902543"/>
    <w:rsid w:val="00906B45"/>
    <w:rsid w:val="00913457"/>
    <w:rsid w:val="00920C95"/>
    <w:rsid w:val="009309D6"/>
    <w:rsid w:val="00935097"/>
    <w:rsid w:val="009534A3"/>
    <w:rsid w:val="00955F1D"/>
    <w:rsid w:val="009577BF"/>
    <w:rsid w:val="00962ACA"/>
    <w:rsid w:val="0096385E"/>
    <w:rsid w:val="009725ED"/>
    <w:rsid w:val="009838BC"/>
    <w:rsid w:val="0099370A"/>
    <w:rsid w:val="00993CED"/>
    <w:rsid w:val="009967FF"/>
    <w:rsid w:val="00997765"/>
    <w:rsid w:val="00997B94"/>
    <w:rsid w:val="009C28D8"/>
    <w:rsid w:val="009D122A"/>
    <w:rsid w:val="009D6861"/>
    <w:rsid w:val="009D7844"/>
    <w:rsid w:val="009D7973"/>
    <w:rsid w:val="009E2C69"/>
    <w:rsid w:val="009E58D3"/>
    <w:rsid w:val="009F16DF"/>
    <w:rsid w:val="009F4513"/>
    <w:rsid w:val="009F5266"/>
    <w:rsid w:val="00A16178"/>
    <w:rsid w:val="00A1656A"/>
    <w:rsid w:val="00A22E8F"/>
    <w:rsid w:val="00A2355F"/>
    <w:rsid w:val="00A322BF"/>
    <w:rsid w:val="00A4201D"/>
    <w:rsid w:val="00A43DDD"/>
    <w:rsid w:val="00A44031"/>
    <w:rsid w:val="00A447BD"/>
    <w:rsid w:val="00A45B3F"/>
    <w:rsid w:val="00A47463"/>
    <w:rsid w:val="00A47824"/>
    <w:rsid w:val="00A516EC"/>
    <w:rsid w:val="00A67D65"/>
    <w:rsid w:val="00A71315"/>
    <w:rsid w:val="00A72B18"/>
    <w:rsid w:val="00A76058"/>
    <w:rsid w:val="00A77795"/>
    <w:rsid w:val="00A83C28"/>
    <w:rsid w:val="00A95C27"/>
    <w:rsid w:val="00AA3EFF"/>
    <w:rsid w:val="00AA7004"/>
    <w:rsid w:val="00AB2E2A"/>
    <w:rsid w:val="00AB46C7"/>
    <w:rsid w:val="00AC10EE"/>
    <w:rsid w:val="00AC240C"/>
    <w:rsid w:val="00AC545C"/>
    <w:rsid w:val="00AC7F72"/>
    <w:rsid w:val="00AD36B9"/>
    <w:rsid w:val="00AD39C2"/>
    <w:rsid w:val="00AD588F"/>
    <w:rsid w:val="00AD666E"/>
    <w:rsid w:val="00AE42E6"/>
    <w:rsid w:val="00AF0D32"/>
    <w:rsid w:val="00AF24DE"/>
    <w:rsid w:val="00AF2C4D"/>
    <w:rsid w:val="00AF5141"/>
    <w:rsid w:val="00AF5CD3"/>
    <w:rsid w:val="00B11B92"/>
    <w:rsid w:val="00B13B74"/>
    <w:rsid w:val="00B13D76"/>
    <w:rsid w:val="00B2171A"/>
    <w:rsid w:val="00B21E12"/>
    <w:rsid w:val="00B23A8B"/>
    <w:rsid w:val="00B24F09"/>
    <w:rsid w:val="00B425A9"/>
    <w:rsid w:val="00B42F24"/>
    <w:rsid w:val="00B457EB"/>
    <w:rsid w:val="00B4698F"/>
    <w:rsid w:val="00B63A74"/>
    <w:rsid w:val="00B65B70"/>
    <w:rsid w:val="00B665D3"/>
    <w:rsid w:val="00B66C76"/>
    <w:rsid w:val="00B74649"/>
    <w:rsid w:val="00B74669"/>
    <w:rsid w:val="00B80218"/>
    <w:rsid w:val="00B84374"/>
    <w:rsid w:val="00B87224"/>
    <w:rsid w:val="00B87354"/>
    <w:rsid w:val="00B935C8"/>
    <w:rsid w:val="00B9601E"/>
    <w:rsid w:val="00BA0465"/>
    <w:rsid w:val="00BA4824"/>
    <w:rsid w:val="00BA4FF4"/>
    <w:rsid w:val="00BB5634"/>
    <w:rsid w:val="00BD7A3A"/>
    <w:rsid w:val="00BE5CA0"/>
    <w:rsid w:val="00BF1C6D"/>
    <w:rsid w:val="00BF52ED"/>
    <w:rsid w:val="00BF78EB"/>
    <w:rsid w:val="00C019EB"/>
    <w:rsid w:val="00C0349C"/>
    <w:rsid w:val="00C05641"/>
    <w:rsid w:val="00C05C56"/>
    <w:rsid w:val="00C06AA6"/>
    <w:rsid w:val="00C0792B"/>
    <w:rsid w:val="00C2477A"/>
    <w:rsid w:val="00C26252"/>
    <w:rsid w:val="00C34445"/>
    <w:rsid w:val="00C36E44"/>
    <w:rsid w:val="00C46D13"/>
    <w:rsid w:val="00C55626"/>
    <w:rsid w:val="00C67D69"/>
    <w:rsid w:val="00C7328D"/>
    <w:rsid w:val="00C7474A"/>
    <w:rsid w:val="00C837C2"/>
    <w:rsid w:val="00C864FC"/>
    <w:rsid w:val="00CA34CC"/>
    <w:rsid w:val="00CA48A3"/>
    <w:rsid w:val="00CA5ACE"/>
    <w:rsid w:val="00D02675"/>
    <w:rsid w:val="00D02D1E"/>
    <w:rsid w:val="00D03AA6"/>
    <w:rsid w:val="00D169E7"/>
    <w:rsid w:val="00D210E8"/>
    <w:rsid w:val="00D46545"/>
    <w:rsid w:val="00D52457"/>
    <w:rsid w:val="00D56C71"/>
    <w:rsid w:val="00D64645"/>
    <w:rsid w:val="00D661E6"/>
    <w:rsid w:val="00D73A05"/>
    <w:rsid w:val="00D85A16"/>
    <w:rsid w:val="00D91697"/>
    <w:rsid w:val="00D93BD0"/>
    <w:rsid w:val="00DA0175"/>
    <w:rsid w:val="00DA2A3C"/>
    <w:rsid w:val="00DA6D66"/>
    <w:rsid w:val="00DA760B"/>
    <w:rsid w:val="00DB01F1"/>
    <w:rsid w:val="00DB0E7F"/>
    <w:rsid w:val="00DB46BC"/>
    <w:rsid w:val="00DC2D10"/>
    <w:rsid w:val="00DC7998"/>
    <w:rsid w:val="00DD58D8"/>
    <w:rsid w:val="00DD6D53"/>
    <w:rsid w:val="00DF0C1E"/>
    <w:rsid w:val="00DF36C6"/>
    <w:rsid w:val="00DF37CA"/>
    <w:rsid w:val="00E00DAF"/>
    <w:rsid w:val="00E02EB8"/>
    <w:rsid w:val="00E06900"/>
    <w:rsid w:val="00E06A8C"/>
    <w:rsid w:val="00E10536"/>
    <w:rsid w:val="00E16C59"/>
    <w:rsid w:val="00E228B1"/>
    <w:rsid w:val="00E2290A"/>
    <w:rsid w:val="00E23FFC"/>
    <w:rsid w:val="00E30750"/>
    <w:rsid w:val="00E54529"/>
    <w:rsid w:val="00E62647"/>
    <w:rsid w:val="00E63311"/>
    <w:rsid w:val="00E73029"/>
    <w:rsid w:val="00E75E18"/>
    <w:rsid w:val="00E77273"/>
    <w:rsid w:val="00E861E8"/>
    <w:rsid w:val="00E9614B"/>
    <w:rsid w:val="00EA007D"/>
    <w:rsid w:val="00EA69B2"/>
    <w:rsid w:val="00EB196D"/>
    <w:rsid w:val="00EB4D77"/>
    <w:rsid w:val="00EB4DED"/>
    <w:rsid w:val="00EC0553"/>
    <w:rsid w:val="00ED3685"/>
    <w:rsid w:val="00EE32C0"/>
    <w:rsid w:val="00EE6249"/>
    <w:rsid w:val="00EE6A85"/>
    <w:rsid w:val="00F01DD7"/>
    <w:rsid w:val="00F047FE"/>
    <w:rsid w:val="00F15B62"/>
    <w:rsid w:val="00F337B8"/>
    <w:rsid w:val="00F35844"/>
    <w:rsid w:val="00F4046A"/>
    <w:rsid w:val="00F50D8F"/>
    <w:rsid w:val="00F5311C"/>
    <w:rsid w:val="00F543FB"/>
    <w:rsid w:val="00F54EF1"/>
    <w:rsid w:val="00F57B86"/>
    <w:rsid w:val="00F6439F"/>
    <w:rsid w:val="00F70006"/>
    <w:rsid w:val="00F70027"/>
    <w:rsid w:val="00F83CD6"/>
    <w:rsid w:val="00F93B83"/>
    <w:rsid w:val="00F96FE1"/>
    <w:rsid w:val="00FA5856"/>
    <w:rsid w:val="00FA5A6C"/>
    <w:rsid w:val="00FB0EF1"/>
    <w:rsid w:val="00FB115F"/>
    <w:rsid w:val="00FB4114"/>
    <w:rsid w:val="00FC7D72"/>
    <w:rsid w:val="00FD7482"/>
    <w:rsid w:val="00FD7E51"/>
    <w:rsid w:val="00FE0F51"/>
    <w:rsid w:val="00FE2C30"/>
    <w:rsid w:val="00FE2C85"/>
    <w:rsid w:val="00FF4073"/>
    <w:rsid w:val="00FF4EE5"/>
    <w:rsid w:val="00FF5F79"/>
    <w:rsid w:val="0ADC0E63"/>
    <w:rsid w:val="210F12E0"/>
    <w:rsid w:val="2F920A79"/>
    <w:rsid w:val="4092745C"/>
    <w:rsid w:val="48120F19"/>
    <w:rsid w:val="65E4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360" w:lineRule="auto"/>
      <w:ind w:firstLine="560" w:firstLineChars="200"/>
      <w:jc w:val="both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uiPriority w:val="0"/>
  </w:style>
  <w:style w:type="paragraph" w:styleId="4">
    <w:name w:val="Body Text"/>
    <w:basedOn w:val="1"/>
    <w:link w:val="29"/>
    <w:qFormat/>
    <w:uiPriority w:val="1"/>
    <w:pPr>
      <w:widowControl w:val="0"/>
      <w:autoSpaceDE w:val="0"/>
      <w:autoSpaceDN w:val="0"/>
      <w:adjustRightInd/>
      <w:snapToGrid/>
    </w:pPr>
    <w:rPr>
      <w:rFonts w:ascii="宋体" w:hAnsi="宋体" w:eastAsia="宋体" w:cs="宋体"/>
      <w:lang w:val="zh-CN" w:bidi="zh-CN"/>
    </w:rPr>
  </w:style>
  <w:style w:type="paragraph" w:styleId="5">
    <w:name w:val="toc 3"/>
    <w:basedOn w:val="1"/>
    <w:next w:val="1"/>
    <w:uiPriority w:val="39"/>
    <w:pPr>
      <w:ind w:left="840" w:leftChars="400"/>
    </w:pPr>
  </w:style>
  <w:style w:type="paragraph" w:styleId="6">
    <w:name w:val="footer"/>
    <w:basedOn w:val="1"/>
    <w:link w:val="32"/>
    <w:qFormat/>
    <w:uiPriority w:val="9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31"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annotation subject"/>
    <w:basedOn w:val="3"/>
    <w:next w:val="3"/>
    <w:link w:val="18"/>
    <w:qFormat/>
    <w:uiPriority w:val="0"/>
    <w:rPr>
      <w:b/>
      <w:bCs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qFormat/>
    <w:uiPriority w:val="0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批注文字 字符"/>
    <w:basedOn w:val="13"/>
    <w:link w:val="3"/>
    <w:qFormat/>
    <w:uiPriority w:val="0"/>
    <w:rPr>
      <w:rFonts w:ascii="Tahoma" w:hAnsi="Tahoma" w:eastAsia="微软雅黑"/>
      <w:sz w:val="22"/>
      <w:szCs w:val="22"/>
    </w:rPr>
  </w:style>
  <w:style w:type="character" w:customStyle="1" w:styleId="18">
    <w:name w:val="批注主题 字符"/>
    <w:basedOn w:val="17"/>
    <w:link w:val="10"/>
    <w:qFormat/>
    <w:uiPriority w:val="0"/>
    <w:rPr>
      <w:rFonts w:ascii="Tahoma" w:hAnsi="Tahoma" w:eastAsia="微软雅黑"/>
      <w:b/>
      <w:bCs/>
      <w:sz w:val="22"/>
      <w:szCs w:val="22"/>
    </w:rPr>
  </w:style>
  <w:style w:type="paragraph" w:customStyle="1" w:styleId="19">
    <w:name w:val="Revision"/>
    <w:hidden/>
    <w:semiHidden/>
    <w:qFormat/>
    <w:uiPriority w:val="99"/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customStyle="1" w:styleId="20">
    <w:name w:val="图片"/>
    <w:basedOn w:val="1"/>
    <w:link w:val="22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</w:rPr>
  </w:style>
  <w:style w:type="paragraph" w:customStyle="1" w:styleId="21">
    <w:name w:val="图片文字"/>
    <w:basedOn w:val="1"/>
    <w:link w:val="24"/>
    <w:qFormat/>
    <w:uiPriority w:val="0"/>
    <w:pPr>
      <w:numPr>
        <w:ilvl w:val="0"/>
        <w:numId w:val="1"/>
      </w:numPr>
      <w:ind w:left="0" w:firstLine="0" w:firstLineChars="0"/>
      <w:jc w:val="center"/>
    </w:pPr>
    <w:rPr>
      <w:rFonts w:asciiTheme="minorEastAsia" w:hAnsiTheme="minorEastAsia" w:eastAsiaTheme="minorEastAsia"/>
      <w:sz w:val="24"/>
      <w:szCs w:val="24"/>
    </w:rPr>
  </w:style>
  <w:style w:type="character" w:customStyle="1" w:styleId="22">
    <w:name w:val="图片 字符"/>
    <w:basedOn w:val="13"/>
    <w:link w:val="20"/>
    <w:qFormat/>
    <w:uiPriority w:val="0"/>
    <w:rPr>
      <w:rFonts w:ascii="Times New Roman" w:hAnsi="Times New Roman" w:eastAsia="仿宋" w:cs="Times New Roman"/>
      <w:sz w:val="28"/>
      <w:szCs w:val="28"/>
    </w:rPr>
  </w:style>
  <w:style w:type="paragraph" w:customStyle="1" w:styleId="23">
    <w:name w:val="1."/>
    <w:basedOn w:val="1"/>
    <w:link w:val="26"/>
    <w:qFormat/>
    <w:uiPriority w:val="0"/>
    <w:pPr>
      <w:spacing w:before="156" w:beforeLines="50" w:after="156" w:afterLines="50"/>
      <w:ind w:firstLine="0" w:firstLineChars="0"/>
      <w:outlineLvl w:val="1"/>
    </w:pPr>
    <w:rPr>
      <w:rFonts w:ascii="黑体" w:hAnsi="黑体" w:eastAsia="黑体"/>
      <w:b/>
      <w:sz w:val="32"/>
      <w:szCs w:val="32"/>
    </w:rPr>
  </w:style>
  <w:style w:type="character" w:customStyle="1" w:styleId="24">
    <w:name w:val="图片文字 字符"/>
    <w:basedOn w:val="13"/>
    <w:link w:val="21"/>
    <w:qFormat/>
    <w:uiPriority w:val="0"/>
    <w:rPr>
      <w:rFonts w:cs="Times New Roman" w:asciiTheme="minorEastAsia" w:hAnsiTheme="minorEastAsia"/>
      <w:sz w:val="24"/>
      <w:szCs w:val="24"/>
    </w:rPr>
  </w:style>
  <w:style w:type="paragraph" w:customStyle="1" w:styleId="25">
    <w:name w:val="1.1"/>
    <w:basedOn w:val="1"/>
    <w:link w:val="28"/>
    <w:qFormat/>
    <w:uiPriority w:val="0"/>
    <w:pPr>
      <w:ind w:firstLine="281" w:firstLineChars="100"/>
      <w:outlineLvl w:val="2"/>
    </w:pPr>
    <w:rPr>
      <w:b/>
    </w:rPr>
  </w:style>
  <w:style w:type="character" w:customStyle="1" w:styleId="26">
    <w:name w:val="1. 字符"/>
    <w:basedOn w:val="13"/>
    <w:link w:val="23"/>
    <w:qFormat/>
    <w:uiPriority w:val="0"/>
    <w:rPr>
      <w:rFonts w:ascii="黑体" w:hAnsi="黑体" w:eastAsia="黑体" w:cs="Times New Roman"/>
      <w:b/>
      <w:sz w:val="32"/>
      <w:szCs w:val="32"/>
    </w:rPr>
  </w:style>
  <w:style w:type="paragraph" w:customStyle="1" w:styleId="27">
    <w:name w:val="二、"/>
    <w:basedOn w:val="4"/>
    <w:link w:val="30"/>
    <w:qFormat/>
    <w:uiPriority w:val="0"/>
    <w:pPr>
      <w:jc w:val="center"/>
      <w:outlineLvl w:val="0"/>
    </w:pPr>
    <w:rPr>
      <w:rFonts w:ascii="黑体" w:hAnsi="黑体" w:eastAsia="黑体" w:cs="Times New Roman"/>
      <w:b/>
      <w:bCs/>
      <w:spacing w:val="-3"/>
      <w:sz w:val="36"/>
      <w:szCs w:val="36"/>
    </w:rPr>
  </w:style>
  <w:style w:type="character" w:customStyle="1" w:styleId="28">
    <w:name w:val="1.1 字符"/>
    <w:basedOn w:val="13"/>
    <w:link w:val="25"/>
    <w:qFormat/>
    <w:uiPriority w:val="0"/>
    <w:rPr>
      <w:rFonts w:ascii="仿宋" w:hAnsi="仿宋" w:eastAsia="仿宋" w:cs="Times New Roman"/>
      <w:b/>
      <w:sz w:val="28"/>
      <w:szCs w:val="28"/>
    </w:rPr>
  </w:style>
  <w:style w:type="character" w:customStyle="1" w:styleId="29">
    <w:name w:val="正文文本 字符"/>
    <w:basedOn w:val="13"/>
    <w:link w:val="4"/>
    <w:qFormat/>
    <w:uiPriority w:val="1"/>
    <w:rPr>
      <w:rFonts w:ascii="宋体" w:hAnsi="宋体" w:eastAsia="宋体" w:cs="宋体"/>
      <w:sz w:val="28"/>
      <w:szCs w:val="28"/>
      <w:lang w:val="zh-CN" w:bidi="zh-CN"/>
    </w:rPr>
  </w:style>
  <w:style w:type="character" w:customStyle="1" w:styleId="30">
    <w:name w:val="二、 字符"/>
    <w:basedOn w:val="29"/>
    <w:link w:val="27"/>
    <w:qFormat/>
    <w:uiPriority w:val="0"/>
    <w:rPr>
      <w:rFonts w:ascii="黑体" w:hAnsi="黑体" w:eastAsia="黑体" w:cs="Times New Roman"/>
      <w:b/>
      <w:bCs/>
      <w:spacing w:val="-3"/>
      <w:sz w:val="36"/>
      <w:szCs w:val="36"/>
      <w:lang w:val="zh-CN" w:bidi="zh-CN"/>
    </w:rPr>
  </w:style>
  <w:style w:type="character" w:customStyle="1" w:styleId="31">
    <w:name w:val="页眉 字符"/>
    <w:basedOn w:val="13"/>
    <w:link w:val="7"/>
    <w:qFormat/>
    <w:uiPriority w:val="0"/>
    <w:rPr>
      <w:rFonts w:ascii="仿宋" w:hAnsi="仿宋" w:eastAsia="仿宋" w:cs="Times New Roman"/>
      <w:sz w:val="18"/>
      <w:szCs w:val="18"/>
    </w:rPr>
  </w:style>
  <w:style w:type="character" w:customStyle="1" w:styleId="32">
    <w:name w:val="页脚 字符"/>
    <w:basedOn w:val="13"/>
    <w:link w:val="6"/>
    <w:qFormat/>
    <w:uiPriority w:val="99"/>
    <w:rPr>
      <w:rFonts w:ascii="仿宋" w:hAnsi="仿宋" w:eastAsia="仿宋" w:cs="Times New Roman"/>
      <w:sz w:val="18"/>
      <w:szCs w:val="18"/>
    </w:rPr>
  </w:style>
  <w:style w:type="paragraph" w:customStyle="1" w:styleId="33">
    <w:name w:val="表格"/>
    <w:basedOn w:val="1"/>
    <w:link w:val="34"/>
    <w:qFormat/>
    <w:uiPriority w:val="0"/>
    <w:pPr>
      <w:spacing w:before="60" w:after="60" w:line="240" w:lineRule="auto"/>
      <w:ind w:firstLine="0" w:firstLineChars="0"/>
      <w:jc w:val="center"/>
    </w:pPr>
  </w:style>
  <w:style w:type="character" w:customStyle="1" w:styleId="34">
    <w:name w:val="表格 字符"/>
    <w:basedOn w:val="13"/>
    <w:link w:val="33"/>
    <w:qFormat/>
    <w:uiPriority w:val="0"/>
    <w:rPr>
      <w:rFonts w:ascii="仿宋" w:hAnsi="仿宋" w:eastAsia="仿宋" w:cs="Times New Roman"/>
      <w:sz w:val="28"/>
      <w:szCs w:val="28"/>
    </w:rPr>
  </w:style>
  <w:style w:type="paragraph" w:customStyle="1" w:styleId="35">
    <w:name w:val="仅供参考"/>
    <w:basedOn w:val="16"/>
    <w:link w:val="37"/>
    <w:qFormat/>
    <w:uiPriority w:val="0"/>
    <w:pPr>
      <w:ind w:firstLine="0" w:firstLineChars="0"/>
      <w:jc w:val="center"/>
    </w:pPr>
    <w:rPr>
      <w:rFonts w:ascii="黑体" w:hAnsi="黑体" w:eastAsia="黑体"/>
      <w:color w:val="FF0000"/>
      <w:sz w:val="44"/>
      <w:szCs w:val="44"/>
    </w:rPr>
  </w:style>
  <w:style w:type="paragraph" w:customStyle="1" w:styleId="36">
    <w:name w:val="顶格文本"/>
    <w:basedOn w:val="1"/>
    <w:link w:val="38"/>
    <w:qFormat/>
    <w:uiPriority w:val="0"/>
    <w:pPr>
      <w:ind w:firstLine="560" w:firstLineChars="200"/>
      <w:jc w:val="left"/>
    </w:pPr>
    <w:rPr>
      <w:rFonts w:ascii="Times New Roman" w:hAnsi="Times New Roman"/>
    </w:rPr>
  </w:style>
  <w:style w:type="character" w:customStyle="1" w:styleId="37">
    <w:name w:val="仅供参考 字符"/>
    <w:basedOn w:val="29"/>
    <w:link w:val="35"/>
    <w:qFormat/>
    <w:uiPriority w:val="0"/>
    <w:rPr>
      <w:rFonts w:ascii="黑体" w:hAnsi="黑体" w:eastAsia="黑体" w:cs="Times New Roman"/>
      <w:color w:val="FF0000"/>
      <w:sz w:val="44"/>
      <w:szCs w:val="44"/>
      <w:lang w:val="zh-CN" w:bidi="zh-CN"/>
    </w:rPr>
  </w:style>
  <w:style w:type="character" w:customStyle="1" w:styleId="38">
    <w:name w:val="顶格文本 字符"/>
    <w:basedOn w:val="13"/>
    <w:link w:val="36"/>
    <w:qFormat/>
    <w:uiPriority w:val="0"/>
    <w:rPr>
      <w:rFonts w:ascii="Times New Roman" w:hAnsi="Times New Roman" w:eastAsia="仿宋" w:cs="Times New Roman"/>
      <w:sz w:val="28"/>
      <w:szCs w:val="28"/>
    </w:rPr>
  </w:style>
  <w:style w:type="paragraph" w:customStyle="1" w:styleId="39">
    <w:name w:val="其他"/>
    <w:basedOn w:val="21"/>
    <w:link w:val="41"/>
    <w:qFormat/>
    <w:uiPriority w:val="0"/>
    <w:pPr>
      <w:numPr>
        <w:numId w:val="0"/>
      </w:numPr>
    </w:pPr>
  </w:style>
  <w:style w:type="character" w:customStyle="1" w:styleId="40">
    <w:name w:val="标题 1 字符"/>
    <w:basedOn w:val="13"/>
    <w:link w:val="2"/>
    <w:qFormat/>
    <w:uiPriority w:val="0"/>
    <w:rPr>
      <w:rFonts w:ascii="仿宋" w:hAnsi="仿宋" w:eastAsia="仿宋" w:cs="Times New Roman"/>
      <w:b/>
      <w:bCs/>
      <w:kern w:val="44"/>
      <w:sz w:val="44"/>
      <w:szCs w:val="44"/>
    </w:rPr>
  </w:style>
  <w:style w:type="character" w:customStyle="1" w:styleId="41">
    <w:name w:val="其他 字符"/>
    <w:basedOn w:val="24"/>
    <w:link w:val="39"/>
    <w:qFormat/>
    <w:uiPriority w:val="0"/>
    <w:rPr>
      <w:rFonts w:cs="Times New Roman" w:asciiTheme="minorEastAsia" w:hAnsiTheme="minorEastAsia"/>
      <w:sz w:val="24"/>
      <w:szCs w:val="24"/>
    </w:rPr>
  </w:style>
  <w:style w:type="paragraph" w:customStyle="1" w:styleId="42">
    <w:name w:val="TOC Heading"/>
    <w:basedOn w:val="2"/>
    <w:next w:val="1"/>
    <w:unhideWhenUsed/>
    <w:qFormat/>
    <w:uiPriority w:val="39"/>
    <w:pPr>
      <w:adjustRightInd/>
      <w:snapToGrid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3">
    <w:name w:val="san"/>
    <w:basedOn w:val="4"/>
    <w:link w:val="44"/>
    <w:qFormat/>
    <w:uiPriority w:val="0"/>
    <w:pPr>
      <w:spacing w:line="408" w:lineRule="auto"/>
    </w:pPr>
  </w:style>
  <w:style w:type="character" w:customStyle="1" w:styleId="44">
    <w:name w:val="san 字符"/>
    <w:basedOn w:val="29"/>
    <w:link w:val="43"/>
    <w:qFormat/>
    <w:uiPriority w:val="0"/>
    <w:rPr>
      <w:rFonts w:ascii="宋体" w:hAnsi="宋体" w:eastAsia="宋体" w:cs="宋体"/>
      <w:sz w:val="28"/>
      <w:szCs w:val="2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png"/><Relationship Id="rId43" Type="http://schemas.openxmlformats.org/officeDocument/2006/relationships/image" Target="file:///D:\qq\448154170\Image\C2C\Image1\C6173593BCA1B8333BC4CFEBF0B90BFA.jpg" TargetMode="External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FE6B7A-BAFA-4475-B146-3769C456F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5805</Words>
  <Characters>6580</Characters>
  <Lines>77</Lines>
  <Paragraphs>21</Paragraphs>
  <TotalTime>1</TotalTime>
  <ScaleCrop>false</ScaleCrop>
  <LinksUpToDate>false</LinksUpToDate>
  <CharactersWithSpaces>6686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2022-06-15T07:40:00Z</dcterms:created>
  <dc:creator>常昊</dc:creator>
  <cp:lastModifiedBy>Administrator</cp:lastModifiedBy>
  <dcterms:modified xsi:type="dcterms:W3CDTF">2022-07-30T10:32:05Z</dcterms:modified>
  <cp:revision>396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B86185EF19EF47FBA8C9D762E3AB7168</vt:lpwstr>
  </property>
</Properties>
</file>